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Burth Jonathan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111 5TH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2ND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Vita Coco Company, Inc.</w:t>
              </w:r>
            </w:hyperlink>
            <w:r>
              <w:rPr/>
              <w:t xml:space="preserve"> [ </w:t>
            </w:r>
            <w:r>
              <w:rPr>
                <w:rFonts w:ascii="Times;serif" w:hAnsi="Times;serif"/>
                <w:color w:val="0000FF"/>
                <w:sz w:val="24"/>
                <w:shd w:fill="FFFFFF" w:val="clear"/>
              </w:rPr>
              <w:t>COCO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930"/>
        <w:gridCol w:w="453"/>
        <w:gridCol w:w="755"/>
        <w:gridCol w:w="1161"/>
        <w:gridCol w:w="99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10,801</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65.21</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47,109</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53" w:type="dxa"/>
        <w:jc w:val="left"/>
        <w:tblInd w:w="-7" w:type="dxa"/>
        <w:tblLayout w:type="fixed"/>
        <w:tblCellMar>
          <w:top w:w="60" w:type="dxa"/>
          <w:left w:w="60" w:type="dxa"/>
          <w:bottom w:w="60" w:type="dxa"/>
          <w:right w:w="60" w:type="dxa"/>
        </w:tblCellMar>
      </w:tblPr>
      <w:tblGrid>
        <w:gridCol w:w="1325"/>
        <w:gridCol w:w="861"/>
        <w:gridCol w:w="891"/>
        <w:gridCol w:w="771"/>
        <w:gridCol w:w="591"/>
        <w:gridCol w:w="300"/>
        <w:gridCol w:w="400"/>
        <w:gridCol w:w="401"/>
        <w:gridCol w:w="906"/>
        <w:gridCol w:w="801"/>
        <w:gridCol w:w="891"/>
        <w:gridCol w:w="801"/>
        <w:gridCol w:w="801"/>
        <w:gridCol w:w="936"/>
        <w:gridCol w:w="831"/>
        <w:gridCol w:w="846"/>
      </w:tblGrid>
      <w:tr>
        <w:trPr>
          <w:tblHeader w:val="true"/>
        </w:trPr>
        <w:tc>
          <w:tcPr>
            <w:tcW w:w="1235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32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2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10.178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02/10/2030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34,525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34,525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3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10.178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01/11/2031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34,125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34,125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3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10/21/2031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58,043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58,043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3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15.36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42,980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42,980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3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16.91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03/10/2033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14,025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14,025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3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16.91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03/10/2033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14,205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14,205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3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26.18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03/04/2034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8,746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8,746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3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33.36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03/04/2035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13,218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13,218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disposition reported on this Form 4 represents shares withheld to cover tax withholding obligations in connection with the vesting and settlement of Restricted Stock Units. The disposition is mandated by the Issuer and does not represent a discretionary transaction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stock option is eligible to vest in four tranches if certain performance conditions for each tranche of the option are met by the target date for the applicable performance condition(s) and expire relative to each tranche if the performance conditions for such tranche are not met by the final target date. The performance conditions were partially met and as a result, the first tranche of the option were timely satisfied, resulting in vesting of the option as to 18,200 shares on February 6, 2024. The performance conditions applicable to the fourth tranche of the option were timely satisfied, resulting in vesting of the option as to 22,750 shares on February 20,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stock option is fully vested and currently exercisable.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stock option vests in four equal annual installments beginning on November 27, 2022.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stock option vests in three equal annual installments beginning on August 15,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stock option is eligible to vest if certain performance conditions are met by the target date for the applicable performance condition(s) and expire if the performance conditions are not met by the final target date. The performance conditions applicable were timely satisfied, resulting in vesting of the option as to 14,025 shares on February 20,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stock option vests in four equal annual installments beginning on March 10,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stock option vests in four equal annual installments beginning on March 4,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Reporting Person was granted stock options that will vest in four annual equal installments on each anniversary of the grant date provided that the Reporting Person remains in continuous service on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Alison Klein, Attorney-in-Fact for Jonathan Burth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6142" TargetMode="External"/><Relationship Id="rId5" Type="http://schemas.openxmlformats.org/officeDocument/2006/relationships/hyperlink" Target="http://www.sec.gov/cgi-bin/browse-edgar?action=getcompany&amp;CIK=00014829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1003</Words>
  <Characters>5386</Characters>
  <CharactersWithSpaces>6249</CharactersWithSpaces>
  <Paragraphs>168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