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23, 2026</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The Vita Coco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tbl>
      <w:tblPr>
        <w:tblW w:w="5467" w:type="dxa"/>
        <w:jc w:val="left"/>
        <w:tblInd w:w="0" w:type="dxa"/>
        <w:tblLayout w:type="fixed"/>
        <w:tblCellMar>
          <w:top w:w="28" w:type="dxa"/>
          <w:left w:w="28" w:type="dxa"/>
          <w:bottom w:w="28" w:type="dxa"/>
          <w:right w:w="28" w:type="dxa"/>
        </w:tblCellMar>
      </w:tblPr>
      <w:tblGrid>
        <w:gridCol w:w="819"/>
        <w:gridCol w:w="718"/>
        <w:gridCol w:w="728"/>
        <w:gridCol w:w="109"/>
        <w:gridCol w:w="109"/>
        <w:gridCol w:w="109"/>
        <w:gridCol w:w="353"/>
        <w:gridCol w:w="353"/>
        <w:gridCol w:w="358"/>
        <w:gridCol w:w="109"/>
        <w:gridCol w:w="109"/>
        <w:gridCol w:w="109"/>
        <w:gridCol w:w="433"/>
        <w:gridCol w:w="433"/>
        <w:gridCol w:w="618"/>
      </w:tblGrid>
      <w:tr>
        <w:trPr/>
        <w:tc>
          <w:tcPr>
            <w:tcW w:w="8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001-40950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11-3713156</w:t>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111 Fifth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Second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New York 10003</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include area code) (212) 206-0763</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08" w:type="dxa"/>
        <w:jc w:val="left"/>
        <w:tblInd w:w="0" w:type="dxa"/>
        <w:tblLayout w:type="fixed"/>
        <w:tblCellMar>
          <w:top w:w="28" w:type="dxa"/>
          <w:left w:w="28" w:type="dxa"/>
          <w:bottom w:w="28" w:type="dxa"/>
          <w:right w:w="28" w:type="dxa"/>
        </w:tblCellMar>
      </w:tblPr>
      <w:tblGrid>
        <w:gridCol w:w="1323"/>
        <w:gridCol w:w="1160"/>
        <w:gridCol w:w="1176"/>
        <w:gridCol w:w="109"/>
        <w:gridCol w:w="109"/>
        <w:gridCol w:w="109"/>
        <w:gridCol w:w="235"/>
        <w:gridCol w:w="235"/>
        <w:gridCol w:w="236"/>
        <w:gridCol w:w="109"/>
        <w:gridCol w:w="109"/>
        <w:gridCol w:w="109"/>
        <w:gridCol w:w="816"/>
        <w:gridCol w:w="816"/>
        <w:gridCol w:w="1157"/>
      </w:tblGrid>
      <w:tr>
        <w:trPr/>
        <w:tc>
          <w:tcPr>
            <w:tcW w:w="1323"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89"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COCO</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24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July 23, 2026, The Vita Coco Company, Inc. (the “Company”) issued a press release announcing financial results for the three and six months ended June 30, 2026 and other matters described in the press release. A copy of the Company’s press release is furnished as Exhibit 99.1 to this Current Report on Form 8-K and incorporated herein by reference.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disclosed under this Item 2.02, including Exhibit 99.1 hereto, is being furnished and shall not be deemed “filed” for purposes of Section 18 of the Securities Exchange Act of 1934, as amended, nor shall it be incorporated by reference into any registration statement or other document pursuant to the Securities Act of 1933, as amended, except as expressly set forth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080" w:type="dxa"/>
        <w:jc w:val="left"/>
        <w:tblInd w:w="0" w:type="dxa"/>
        <w:tblLayout w:type="fixed"/>
        <w:tblCellMar>
          <w:top w:w="28" w:type="dxa"/>
          <w:left w:w="28" w:type="dxa"/>
          <w:bottom w:w="28" w:type="dxa"/>
          <w:right w:w="28" w:type="dxa"/>
        </w:tblCellMar>
      </w:tblPr>
      <w:tblGrid>
        <w:gridCol w:w="342"/>
        <w:gridCol w:w="301"/>
        <w:gridCol w:w="303"/>
        <w:gridCol w:w="1791"/>
        <w:gridCol w:w="1791"/>
        <w:gridCol w:w="2552"/>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Exhibit No.</w:t>
            </w:r>
          </w:p>
        </w:tc>
        <w:tc>
          <w:tcPr>
            <w:tcW w:w="61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1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oco-20260630xexx991pressr.htm">
              <w:r>
                <w:rPr>
                  <w:rStyle w:val="InternetLink"/>
                  <w:rFonts w:ascii="Times New Roman;serif" w:hAnsi="Times New Roman;serif"/>
                  <w:b w:val="false"/>
                  <w:color w:val="0000FF"/>
                  <w:sz w:val="20"/>
                  <w:u w:val="single"/>
                </w:rPr>
                <w:t>Press release, dated July 23, 2026.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1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647" w:type="dxa"/>
        <w:jc w:val="left"/>
        <w:tblInd w:w="0" w:type="dxa"/>
        <w:tblLayout w:type="fixed"/>
        <w:tblCellMar>
          <w:top w:w="28" w:type="dxa"/>
          <w:left w:w="28" w:type="dxa"/>
          <w:bottom w:w="28" w:type="dxa"/>
          <w:right w:w="28" w:type="dxa"/>
        </w:tblCellMar>
      </w:tblPr>
      <w:tblGrid>
        <w:gridCol w:w="618"/>
        <w:gridCol w:w="544"/>
        <w:gridCol w:w="547"/>
        <w:gridCol w:w="478"/>
        <w:gridCol w:w="478"/>
        <w:gridCol w:w="478"/>
        <w:gridCol w:w="731"/>
        <w:gridCol w:w="731"/>
        <w:gridCol w:w="1042"/>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93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VITA COCO COMPANY, INC.</w:t>
            </w:r>
          </w:p>
        </w:tc>
      </w:tr>
      <w:tr>
        <w:trPr/>
        <w:tc>
          <w:tcPr>
            <w:tcW w:w="170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3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50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1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Corey Baker</w:t>
            </w:r>
          </w:p>
        </w:tc>
      </w:tr>
      <w:tr>
        <w:trPr/>
        <w:tc>
          <w:tcPr>
            <w:tcW w:w="170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3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Corey Baker</w:t>
            </w:r>
          </w:p>
        </w:tc>
      </w:tr>
      <w:tr>
        <w:trPr/>
        <w:tc>
          <w:tcPr>
            <w:tcW w:w="170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3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240" w:after="283"/>
        <w:jc w:val="center"/>
        <w:rPr/>
      </w:pPr>
      <w:r>
        <w:rPr/>
        <w:drawing>
          <wp:inline distT="0" distB="0" distL="0" distR="0">
            <wp:extent cx="2095500" cy="4476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95500" cy="447675"/>
                    </a:xfrm>
                    <a:prstGeom prst="rect">
                      <a:avLst/>
                    </a:prstGeom>
                  </pic:spPr>
                </pic:pic>
              </a:graphicData>
            </a:graphic>
          </wp:inline>
        </w:drawing>
      </w:r>
    </w:p>
    <w:p>
      <w:pPr>
        <w:pStyle w:val="TextBody"/>
        <w:bidi w:val="0"/>
        <w:spacing w:before="240" w:after="283"/>
        <w:jc w:val="center"/>
        <w:rPr/>
      </w:pPr>
      <w:r>
        <w:rPr/>
      </w:r>
    </w:p>
    <w:p>
      <w:pPr>
        <w:pStyle w:val="TextBody"/>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The Vita Coco Company Reports Second Quarter 2026 Financial Results and Raises Full Year Guidance</w:t>
      </w:r>
    </w:p>
    <w:p>
      <w:pPr>
        <w:pStyle w:val="TextBody"/>
        <w:bidi w:val="0"/>
        <w:spacing w:before="0" w:after="0"/>
        <w:jc w:val="center"/>
        <w:rPr/>
      </w:pPr>
      <w:r>
        <w:rPr/>
      </w:r>
    </w:p>
    <w:p>
      <w:pPr>
        <w:pStyle w:val="TextBody"/>
        <w:bidi w:val="0"/>
        <w:spacing w:lineRule="auto" w:line="288" w:before="0" w:after="2"/>
        <w:jc w:val="center"/>
        <w:rPr/>
      </w:pPr>
      <w:r>
        <w:rPr>
          <w:rFonts w:ascii="Times New Roman;serif" w:hAnsi="Times New Roman;serif"/>
          <w:b w:val="false"/>
          <w:i/>
          <w:color w:val="000000"/>
          <w:sz w:val="20"/>
        </w:rPr>
        <w:t xml:space="preserve">Net Sales were $216 million, an increase of </w:t>
      </w:r>
      <w:r>
        <w:rPr>
          <w:rFonts w:ascii="Times New Roman;serif" w:hAnsi="Times New Roman;serif"/>
          <w:b w:val="false"/>
          <w:color w:val="000000"/>
          <w:sz w:val="20"/>
        </w:rPr>
        <w:t>28%</w:t>
      </w:r>
      <w:r>
        <w:rPr>
          <w:rFonts w:ascii="Times New Roman;serif" w:hAnsi="Times New Roman;serif"/>
          <w:b w:val="false"/>
          <w:i/>
          <w:color w:val="000000"/>
          <w:sz w:val="20"/>
        </w:rPr>
        <w:t xml:space="preserve">, driven by Vita Coco Coconut Water growth of </w:t>
      </w:r>
      <w:r>
        <w:rPr>
          <w:rFonts w:ascii="Times New Roman;serif" w:hAnsi="Times New Roman;serif"/>
          <w:b w:val="false"/>
          <w:color w:val="000000"/>
          <w:sz w:val="20"/>
        </w:rPr>
        <w:t>21%</w:t>
      </w:r>
    </w:p>
    <w:p>
      <w:pPr>
        <w:pStyle w:val="TextBody"/>
        <w:bidi w:val="0"/>
        <w:spacing w:before="0" w:after="2"/>
        <w:jc w:val="center"/>
        <w:rPr/>
      </w:pPr>
      <w:r>
        <w:rPr/>
      </w:r>
    </w:p>
    <w:p>
      <w:pPr>
        <w:pStyle w:val="TextBody"/>
        <w:bidi w:val="0"/>
        <w:spacing w:lineRule="auto" w:line="288" w:before="0" w:after="2"/>
        <w:jc w:val="center"/>
        <w:rPr/>
      </w:pPr>
      <w:r>
        <w:rPr>
          <w:rFonts w:ascii="Times New Roman;serif" w:hAnsi="Times New Roman;serif"/>
          <w:b w:val="false"/>
          <w:i/>
          <w:color w:val="000000"/>
          <w:sz w:val="20"/>
        </w:rPr>
        <w:t>Net Income Increased $27 million to $49 million and Non-GAAP Adjusted EBITDA</w:t>
      </w:r>
      <w:r>
        <w:rPr>
          <w:rFonts w:ascii="Times New Roman;serif" w:hAnsi="Times New Roman;serif"/>
          <w:b w:val="false"/>
          <w:i/>
          <w:color w:val="000000"/>
          <w:sz w:val="13"/>
        </w:rPr>
        <w:t>1</w:t>
      </w:r>
      <w:r>
        <w:rPr>
          <w:color w:val="000000"/>
        </w:rPr>
        <w:t xml:space="preserve"> </w:t>
      </w:r>
      <w:r>
        <w:rPr>
          <w:rFonts w:ascii="Times New Roman;serif" w:hAnsi="Times New Roman;serif"/>
          <w:b w:val="false"/>
          <w:i/>
          <w:color w:val="000000"/>
          <w:sz w:val="20"/>
        </w:rPr>
        <w:t>Increased $38 million to $67 million</w:t>
      </w:r>
    </w:p>
    <w:p>
      <w:pPr>
        <w:pStyle w:val="TextBody"/>
        <w:bidi w:val="0"/>
        <w:spacing w:before="0" w:after="0"/>
        <w:jc w:val="center"/>
        <w:rPr/>
      </w:pPr>
      <w:r>
        <w:rPr/>
      </w:r>
    </w:p>
    <w:p>
      <w:pPr>
        <w:pStyle w:val="TextBody"/>
        <w:bidi w:val="0"/>
        <w:spacing w:lineRule="auto" w:line="240" w:before="0" w:after="0"/>
        <w:jc w:val="center"/>
        <w:rPr/>
      </w:pPr>
      <w:r>
        <w:rPr>
          <w:rFonts w:ascii="Times New Roman;serif" w:hAnsi="Times New Roman;serif"/>
          <w:b w:val="false"/>
          <w:i/>
          <w:color w:val="000000"/>
          <w:sz w:val="20"/>
        </w:rPr>
        <w:t>Raises Fiscal Year 2026 Guidance for Net Sales to between $790 million and $805 million and Adjusted EBITDA</w:t>
      </w:r>
      <w:r>
        <w:rPr>
          <w:rFonts w:ascii="Times New Roman;serif" w:hAnsi="Times New Roman;serif"/>
          <w:b w:val="false"/>
          <w:i/>
          <w:color w:val="000000"/>
          <w:sz w:val="13"/>
        </w:rPr>
        <w:t>2</w:t>
      </w:r>
      <w:r>
        <w:rPr>
          <w:color w:val="000000"/>
        </w:rPr>
        <w:t xml:space="preserve"> </w:t>
      </w:r>
      <w:r>
        <w:rPr>
          <w:rFonts w:ascii="Times New Roman;serif" w:hAnsi="Times New Roman;serif"/>
          <w:b w:val="false"/>
          <w:i/>
          <w:color w:val="000000"/>
          <w:sz w:val="20"/>
        </w:rPr>
        <w:t xml:space="preserve">to between $154 million and $161 million </w:t>
      </w:r>
    </w:p>
    <w:p>
      <w:pPr>
        <w:pStyle w:val="TextBody"/>
        <w:bidi w:val="0"/>
        <w:spacing w:before="0" w:after="2"/>
        <w:jc w:val="center"/>
        <w:rPr/>
      </w:pPr>
      <w:r>
        <w:rPr/>
      </w:r>
    </w:p>
    <w:p>
      <w:pPr>
        <w:pStyle w:val="TextBody"/>
        <w:bidi w:val="0"/>
        <w:spacing w:before="0" w:after="0"/>
        <w:jc w:val="center"/>
        <w:rPr/>
      </w:pPr>
      <w:r>
        <w:rPr/>
      </w:r>
    </w:p>
    <w:p>
      <w:pPr>
        <w:pStyle w:val="TextBody"/>
        <w:bidi w:val="0"/>
        <w:spacing w:lineRule="auto" w:line="288" w:before="240" w:after="283"/>
        <w:jc w:val="left"/>
        <w:rPr/>
      </w:pPr>
      <w:r>
        <w:rPr>
          <w:rFonts w:ascii="Times New Roman;serif" w:hAnsi="Times New Roman;serif"/>
          <w:b/>
          <w:color w:val="000000"/>
          <w:sz w:val="20"/>
        </w:rPr>
        <w:t>NEW YORK, NY – July 23, 2026 –</w:t>
      </w:r>
      <w:r>
        <w:rPr>
          <w:color w:val="000000"/>
        </w:rPr>
        <w:t xml:space="preserve"> </w:t>
      </w:r>
      <w:r>
        <w:rPr>
          <w:rFonts w:ascii="Times New Roman;serif" w:hAnsi="Times New Roman;serif"/>
          <w:b w:val="false"/>
          <w:color w:val="000000"/>
          <w:sz w:val="20"/>
        </w:rPr>
        <w:t xml:space="preserve">The Vita Coco Company, Inc. (NASDAQ:COCO) (“Vita Coco” or “the Company”), a leading high-growth platform of better-for-you beverage brands, today announced financial results for the second quarter ended June 30, 2026. </w:t>
      </w:r>
    </w:p>
    <w:p>
      <w:pPr>
        <w:pStyle w:val="TextBody"/>
        <w:bidi w:val="0"/>
        <w:spacing w:before="0" w:after="2"/>
        <w:jc w:val="left"/>
        <w:rPr/>
      </w:pPr>
      <w:r>
        <w:rPr/>
      </w:r>
    </w:p>
    <w:p>
      <w:pPr>
        <w:pStyle w:val="TextBody"/>
        <w:bidi w:val="0"/>
        <w:spacing w:before="0" w:after="0"/>
        <w:jc w:val="left"/>
        <w:rPr/>
      </w:pPr>
      <w:r>
        <w:rPr/>
      </w:r>
    </w:p>
    <w:p>
      <w:pPr>
        <w:pStyle w:val="TextBody"/>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Second Quarter and Year-to-Date 2026 Highlights Compared to Prior Year Period</w:t>
      </w:r>
    </w:p>
    <w:p>
      <w:pPr>
        <w:pStyle w:val="TextBody"/>
        <w:bidi w:val="0"/>
        <w:spacing w:lineRule="auto" w:line="288" w:before="180" w:after="283"/>
        <w:ind w:left="0" w:right="0" w:hanging="540"/>
        <w:jc w:val="left"/>
        <w:rPr/>
      </w:pPr>
      <w:r>
        <w:rPr>
          <w:color w:val="000000"/>
        </w:rPr>
        <w:t>•</w:t>
      </w:r>
      <w:r>
        <w:rPr>
          <w:rFonts w:ascii="Times New Roman;serif" w:hAnsi="Times New Roman;serif"/>
          <w:b w:val="false"/>
          <w:color w:val="000000"/>
          <w:sz w:val="20"/>
        </w:rPr>
        <w:t xml:space="preserve">Net sales were $216 million, an increase of $47 million, </w:t>
      </w:r>
      <w:r>
        <w:rPr>
          <w:rFonts w:ascii="Times New Roman;serif" w:hAnsi="Times New Roman;serif"/>
          <w:b w:val="false"/>
          <w:color w:val="000000"/>
          <w:sz w:val="20"/>
          <w:shd w:fill="FFFFFF" w:val="clear"/>
        </w:rPr>
        <w:t xml:space="preserve">or </w:t>
      </w:r>
      <w:r>
        <w:rPr>
          <w:rFonts w:ascii="Times New Roman;serif" w:hAnsi="Times New Roman;serif"/>
          <w:b w:val="false"/>
          <w:color w:val="000000"/>
          <w:sz w:val="20"/>
        </w:rPr>
        <w:t>28%, in the second quarter and $396 million year-to-date, an increase of $96 million, or 32%.</w:t>
      </w:r>
    </w:p>
    <w:p>
      <w:pPr>
        <w:pStyle w:val="TextBody"/>
        <w:bidi w:val="0"/>
        <w:spacing w:lineRule="auto" w:line="288" w:before="180" w:after="2"/>
        <w:ind w:left="0" w:right="0" w:hanging="540"/>
        <w:jc w:val="left"/>
        <w:rPr/>
      </w:pPr>
      <w:r>
        <w:rPr>
          <w:color w:val="000000"/>
        </w:rPr>
        <w:t>•</w:t>
      </w:r>
      <w:r>
        <w:rPr>
          <w:rFonts w:ascii="Times New Roman;serif" w:hAnsi="Times New Roman;serif"/>
          <w:b w:val="false"/>
          <w:i/>
          <w:color w:val="000000"/>
          <w:sz w:val="20"/>
        </w:rPr>
        <w:t>Vita Coco</w:t>
      </w:r>
      <w:r>
        <w:rPr>
          <w:color w:val="000000"/>
        </w:rPr>
        <w:t xml:space="preserve"> </w:t>
      </w:r>
      <w:r>
        <w:rPr>
          <w:rFonts w:ascii="Times New Roman;serif" w:hAnsi="Times New Roman;serif"/>
          <w:b w:val="false"/>
          <w:color w:val="000000"/>
          <w:sz w:val="20"/>
        </w:rPr>
        <w:t xml:space="preserve">Coconut Water net sales grew 21% in the second quarter and 29% year-to-date. </w:t>
      </w:r>
    </w:p>
    <w:p>
      <w:pPr>
        <w:pStyle w:val="TextBody"/>
        <w:bidi w:val="0"/>
        <w:spacing w:lineRule="auto" w:line="288" w:before="180" w:after="2"/>
        <w:ind w:left="0" w:right="0" w:hanging="540"/>
        <w:jc w:val="left"/>
        <w:rPr/>
      </w:pPr>
      <w:r>
        <w:rPr>
          <w:color w:val="000000"/>
        </w:rPr>
        <w:t>•</w:t>
      </w:r>
      <w:r>
        <w:rPr>
          <w:rFonts w:ascii="Times New Roman;serif" w:hAnsi="Times New Roman;serif"/>
          <w:b w:val="false"/>
          <w:color w:val="000000"/>
          <w:sz w:val="20"/>
        </w:rPr>
        <w:t xml:space="preserve">Gross profit was $105 million in the second quarter, an increase of $44 million, and $177 million year-to-date, an increase of $68 million. </w:t>
      </w:r>
    </w:p>
    <w:p>
      <w:pPr>
        <w:pStyle w:val="TextBody"/>
        <w:bidi w:val="0"/>
        <w:spacing w:before="0" w:after="2"/>
        <w:ind w:left="0" w:right="0" w:hanging="180"/>
        <w:jc w:val="left"/>
        <w:rPr/>
      </w:pPr>
      <w:r>
        <w:rPr/>
      </w:r>
    </w:p>
    <w:p>
      <w:pPr>
        <w:pStyle w:val="TextBody"/>
        <w:bidi w:val="0"/>
        <w:spacing w:lineRule="auto" w:line="288" w:before="0" w:after="2"/>
        <w:ind w:left="0" w:right="0" w:hanging="540"/>
        <w:jc w:val="left"/>
        <w:rPr/>
      </w:pPr>
      <w:r>
        <w:rPr>
          <w:color w:val="000000"/>
        </w:rPr>
        <w:t>•</w:t>
      </w:r>
      <w:r>
        <w:rPr>
          <w:rFonts w:ascii="Times New Roman;serif" w:hAnsi="Times New Roman;serif"/>
          <w:b w:val="false"/>
          <w:color w:val="000000"/>
          <w:sz w:val="20"/>
        </w:rPr>
        <w:t>Gross margin was 49% of net sales in the second quarter compared to 36%, and 45% of net sales year-to-date compared to 36%, with tariff refunds delivering a 700 basis point benefit to gross margin in the second quarter and 300 basis point benefit year-to-date.</w:t>
      </w:r>
    </w:p>
    <w:p>
      <w:pPr>
        <w:pStyle w:val="TextBody"/>
        <w:bidi w:val="0"/>
        <w:spacing w:lineRule="auto" w:line="288" w:before="180" w:after="2"/>
        <w:ind w:left="0" w:right="0" w:hanging="540"/>
        <w:jc w:val="left"/>
        <w:rPr/>
      </w:pPr>
      <w:r>
        <w:rPr>
          <w:color w:val="000000"/>
        </w:rPr>
        <w:t>•</w:t>
      </w:r>
      <w:r>
        <w:rPr>
          <w:rFonts w:ascii="Times New Roman;serif" w:hAnsi="Times New Roman;serif"/>
          <w:b w:val="false"/>
          <w:color w:val="000000"/>
          <w:sz w:val="20"/>
        </w:rPr>
        <w:t>Net income was $49 million in the second quarter compared to $23 million, an increase of $27 million, and $80 million year-to-date compared to $42 million, an increase of $38 million.</w:t>
      </w:r>
    </w:p>
    <w:p>
      <w:pPr>
        <w:pStyle w:val="TextBody"/>
        <w:bidi w:val="0"/>
        <w:spacing w:before="0" w:after="2"/>
        <w:ind w:left="0" w:right="0" w:hanging="180"/>
        <w:jc w:val="left"/>
        <w:rPr/>
      </w:pPr>
      <w:r>
        <w:rPr/>
      </w:r>
    </w:p>
    <w:p>
      <w:pPr>
        <w:pStyle w:val="TextBody"/>
        <w:bidi w:val="0"/>
        <w:spacing w:lineRule="auto" w:line="288" w:before="0" w:after="2"/>
        <w:ind w:left="0" w:right="0" w:hanging="540"/>
        <w:jc w:val="left"/>
        <w:rPr/>
      </w:pPr>
      <w:r>
        <w:rPr>
          <w:color w:val="000000"/>
        </w:rPr>
        <w:t>•</w:t>
      </w:r>
      <w:r>
        <w:rPr>
          <w:rFonts w:ascii="Times New Roman;serif" w:hAnsi="Times New Roman;serif"/>
          <w:b w:val="false"/>
          <w:color w:val="000000"/>
          <w:sz w:val="20"/>
        </w:rPr>
        <w:t>Net income per diluted share was $0.82 in the second quarter compared to $0.38, and $1.32 per diluted share year-to-date compared to $0.70.</w:t>
      </w:r>
    </w:p>
    <w:p>
      <w:pPr>
        <w:pStyle w:val="TextBody"/>
        <w:bidi w:val="0"/>
        <w:spacing w:lineRule="auto" w:line="288" w:before="180" w:after="283"/>
        <w:ind w:left="0" w:right="0" w:hanging="540"/>
        <w:jc w:val="left"/>
        <w:rPr/>
      </w:pPr>
      <w:r>
        <w:rPr>
          <w:color w:val="000000"/>
        </w:rPr>
        <w:t>•</w:t>
      </w:r>
      <w:r>
        <w:rPr>
          <w:rFonts w:ascii="Times New Roman;serif" w:hAnsi="Times New Roman;serif"/>
          <w:b w:val="false"/>
          <w:color w:val="000000"/>
          <w:sz w:val="20"/>
        </w:rPr>
        <w:t>Non-GAAP Adjusted EBITDA</w:t>
      </w: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was $67 million in the second quarter compared to $29 million, </w:t>
      </w:r>
      <w:r>
        <w:rPr>
          <w:rFonts w:ascii="Times New Roman;serif" w:hAnsi="Times New Roman;serif"/>
          <w:b w:val="false"/>
          <w:color w:val="000000"/>
          <w:sz w:val="20"/>
          <w:shd w:fill="FFFFFF" w:val="clear"/>
        </w:rPr>
        <w:t xml:space="preserve">an increase of </w:t>
      </w:r>
      <w:r>
        <w:rPr>
          <w:rFonts w:ascii="Times New Roman;serif" w:hAnsi="Times New Roman;serif"/>
          <w:b w:val="false"/>
          <w:color w:val="000000"/>
          <w:sz w:val="20"/>
        </w:rPr>
        <w:t>$38 million. Non-GAAP Adjusted EBITDA</w:t>
      </w: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was $106 million year-to-date, compared to $52 million, an increase of $54 million. </w:t>
      </w:r>
    </w:p>
    <w:p>
      <w:pPr>
        <w:pStyle w:val="TextBody"/>
        <w:bidi w:val="0"/>
        <w:spacing w:before="0" w:after="2"/>
        <w:ind w:left="0" w:right="0" w:hanging="180"/>
        <w:jc w:val="left"/>
        <w:rPr/>
      </w:pPr>
      <w:r>
        <w:rPr/>
      </w:r>
    </w:p>
    <w:p>
      <w:pPr>
        <w:pStyle w:val="TextBody"/>
        <w:bidi w:val="0"/>
        <w:spacing w:before="0" w:after="2"/>
        <w:jc w:val="left"/>
        <w:rPr/>
      </w:pPr>
      <w:r>
        <w:rPr/>
      </w:r>
    </w:p>
    <w:p>
      <w:pPr>
        <w:pStyle w:val="TextBody"/>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Michael Kirban, the Company's Co-Founder and Executive Chairman, stated, "The coconut water category maintained very strong growth during the quarter, and continues to be one of the fastest growing beverage categories in our major markets. The growth is being generated by increases in both household penetration and in average consumption per household. I believe this growth is being driven by our investments in consumer education, emphasizing the fact that coconut water has 3.5 times the electrolytes of the leading sports drink while also offering an array of diverse usage and drinking occasions. I am very proud of our team's accomplishments and confident in our plans to maintain this growth and our category leadership well into the future. The global momentum in our category and our brand health and supply chain performance has me very excited for our long-term potential."</w:t>
      </w:r>
    </w:p>
    <w:p>
      <w:pPr>
        <w:pStyle w:val="TextBody"/>
        <w:bidi w:val="0"/>
        <w:spacing w:before="0" w:after="0"/>
        <w:jc w:val="left"/>
        <w:rPr/>
      </w:pPr>
      <w:r>
        <w:rPr/>
      </w:r>
    </w:p>
    <w:p>
      <w:pPr>
        <w:pStyle w:val="TextBody"/>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Martin Roper, the Company’s Chief Executive Officer, said, “Our healthy second quarter shipment performance was driven by robust branded retail growth in all our major markets, reflective of strong brand demand and by private label shipment strength mainly due to distribution gains. We are raising our full year Net Sales and Adjusted EBITDA guidance </w:t>
      </w:r>
    </w:p>
    <w:p>
      <w:pPr>
        <w:pStyle w:val="TextBody"/>
        <w:bidi w:val="0"/>
        <w:spacing w:before="0" w:after="2"/>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based on expected continued brand strength in our major markets coupled with strong second half private label shipment trends, and slight underlying gross margin improvement versus prior guidance. While we still expect to see current cost pressures temporarily reduce gross margin for the balance of year, our strong underlying performance allows us to increase our investments in sales and marketing in the second half in order to maintain our momentum into 2027."</w:t>
      </w:r>
    </w:p>
    <w:p>
      <w:pPr>
        <w:pStyle w:val="TextBody"/>
        <w:bidi w:val="0"/>
        <w:spacing w:before="0" w:after="2"/>
        <w:jc w:val="left"/>
        <w:rPr/>
      </w:pPr>
      <w:r>
        <w:rPr/>
      </w:r>
    </w:p>
    <w:p>
      <w:pPr>
        <w:pStyle w:val="TextBody"/>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Second Quarter 2026 Consolidated Results</w:t>
      </w:r>
    </w:p>
    <w:p>
      <w:pPr>
        <w:pStyle w:val="TextBody"/>
        <w:bidi w:val="0"/>
        <w:spacing w:lineRule="auto" w:line="268" w:before="240" w:after="283"/>
        <w:jc w:val="left"/>
        <w:rPr/>
      </w:pPr>
      <w:r>
        <w:rPr>
          <w:rFonts w:ascii="Times New Roman;serif" w:hAnsi="Times New Roman;serif"/>
          <w:b w:val="false"/>
          <w:color w:val="000000"/>
          <w:sz w:val="20"/>
        </w:rPr>
        <w:t xml:space="preserve">Net sales increased $47 million, or 28%, to $216 million for the second quarter ended June 30, 2026, compared to $169 million in the prior year period. The increase in net sales was driven by case equivalent ("CE") volume gains of 15% for </w:t>
      </w:r>
      <w:r>
        <w:rPr>
          <w:rFonts w:ascii="Times New Roman;serif" w:hAnsi="Times New Roman;serif"/>
          <w:b w:val="false"/>
          <w:i/>
          <w:color w:val="000000"/>
          <w:sz w:val="20"/>
        </w:rPr>
        <w:t>Vita Coco</w:t>
      </w:r>
      <w:r>
        <w:rPr>
          <w:color w:val="000000"/>
        </w:rPr>
        <w:t xml:space="preserve"> </w:t>
      </w:r>
      <w:r>
        <w:rPr>
          <w:rFonts w:ascii="Times New Roman;serif" w:hAnsi="Times New Roman;serif"/>
          <w:b w:val="false"/>
          <w:color w:val="000000"/>
          <w:sz w:val="20"/>
        </w:rPr>
        <w:t xml:space="preserve">Coconut Water and 78% for Private Label as well as improved net pricing due to last year's price increases and favorable promotional timing.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Gross profit increased to $105 million, from $61 million in the prior year period driven by the recognition of tariff refunds, higher sales, favorable pricing, alongside lower ocean freight and finished goods costs, partially offset by slightly higher domestic logistics costs. Gross margin was 49% compared to 36% in the prior year period. The increase resulted primarily from the tariff refunds, higher net pricing alongside lower ocean freight rates and finished goods costs, slightly offset by higher domestic transportation costs.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("SG&amp;A") expenses were $42 million, compared to $36 million in the prior year period. The increase was primarily driven by higher people-related costs reflecting increased incentive compensation, headcount growth, and stock-based compensation, as well as investments in sales and marketing.</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Net income was $49 million, or $0.82 per diluted share, compared to net income of $23 million, or $0.38 per diluted share, in the prior year period. Net income benefited from higher gross profit, partially offset by higher SG&amp;A spending</w:t>
      </w:r>
      <w:r>
        <w:rPr>
          <w:color w:val="000000"/>
          <w:shd w:fill="FFFFFF" w:val="clear"/>
        </w:rPr>
        <w:t xml:space="preserve"> </w:t>
      </w:r>
      <w:r>
        <w:rPr>
          <w:rFonts w:ascii="Times New Roman;serif" w:hAnsi="Times New Roman;serif"/>
          <w:b w:val="false"/>
          <w:color w:val="000000"/>
          <w:sz w:val="20"/>
          <w:shd w:fill="FFFFFF" w:val="clear"/>
        </w:rPr>
        <w:t>and increased income tax expense</w:t>
      </w:r>
      <w:r>
        <w:rPr>
          <w:rFonts w:ascii="Times New Roman;serif" w:hAnsi="Times New Roman;serif"/>
          <w:b w:val="false"/>
          <w:color w:val="000000"/>
          <w:sz w:val="20"/>
        </w:rPr>
        <w:t>.</w:t>
      </w:r>
    </w:p>
    <w:p>
      <w:pPr>
        <w:pStyle w:val="TextBody"/>
        <w:bidi w:val="0"/>
        <w:spacing w:before="0" w:after="2"/>
        <w:jc w:val="left"/>
        <w:rPr/>
      </w:pPr>
      <w:r>
        <w:rPr/>
      </w:r>
    </w:p>
    <w:p>
      <w:pPr>
        <w:pStyle w:val="TextBody"/>
        <w:bidi w:val="0"/>
        <w:spacing w:lineRule="auto" w:line="268" w:before="0" w:after="0"/>
        <w:jc w:val="left"/>
        <w:rPr/>
      </w:pPr>
      <w:r>
        <w:rPr>
          <w:rFonts w:ascii="Times New Roman;serif" w:hAnsi="Times New Roman;serif"/>
          <w:b w:val="false"/>
          <w:color w:val="000000"/>
          <w:sz w:val="20"/>
        </w:rPr>
        <w:t>Non-GAAP Adjusted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was $67 million, compared to $29 million in the prior year due to the increased gross profit partially offset by higher SG&amp;A expenses.</w:t>
      </w:r>
    </w:p>
    <w:p>
      <w:pPr>
        <w:pStyle w:val="TextBody"/>
        <w:bidi w:val="0"/>
        <w:spacing w:before="0" w:after="2"/>
        <w:jc w:val="left"/>
        <w:rPr/>
      </w:pPr>
      <w:r>
        <w:rPr/>
      </w:r>
    </w:p>
    <w:p>
      <w:pPr>
        <w:pStyle w:val="TextBody"/>
        <w:bidi w:val="0"/>
        <w:spacing w:lineRule="auto" w:line="288" w:before="180" w:after="2"/>
        <w:jc w:val="left"/>
        <w:rPr>
          <w:rFonts w:ascii="Times New Roman;serif" w:hAnsi="Times New Roman;serif"/>
          <w:b/>
          <w:color w:val="000000"/>
          <w:sz w:val="20"/>
        </w:rPr>
      </w:pPr>
      <w:r>
        <w:rPr>
          <w:rFonts w:ascii="Times New Roman;serif" w:hAnsi="Times New Roman;serif"/>
          <w:b/>
          <w:color w:val="000000"/>
          <w:sz w:val="20"/>
        </w:rPr>
        <w:t>Balance Sheet</w:t>
      </w:r>
    </w:p>
    <w:p>
      <w:pPr>
        <w:pStyle w:val="TextBody"/>
        <w:bidi w:val="0"/>
        <w:spacing w:before="0" w:after="2"/>
        <w:jc w:val="left"/>
        <w:rPr/>
      </w:pPr>
      <w:r>
        <w:rPr/>
      </w:r>
    </w:p>
    <w:p>
      <w:pPr>
        <w:pStyle w:val="TextBody"/>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Company's financial position remained strong with no debt and $279 million in cash and cash equivalents, an increase from $197 million at the beginning of the year. Our inventory levels decreased to $83 million, down from $111 million as of December 31, 2025, due to strong year-to-date shipments. Accounts receivable increased to $132 million from $82 million as of prior year end, primarily reflecting growth in gross sales in 2026.</w:t>
      </w:r>
    </w:p>
    <w:p>
      <w:pPr>
        <w:pStyle w:val="TextBody"/>
        <w:bidi w:val="0"/>
        <w:spacing w:before="0" w:after="2"/>
        <w:jc w:val="left"/>
        <w:rPr/>
      </w:pPr>
      <w:r>
        <w:rPr/>
      </w:r>
    </w:p>
    <w:p>
      <w:pPr>
        <w:pStyle w:val="TextBody"/>
        <w:bidi w:val="0"/>
        <w:spacing w:lineRule="auto" w:line="288" w:before="0" w:after="2"/>
        <w:jc w:val="left"/>
        <w:rPr/>
      </w:pPr>
      <w:r>
        <w:rPr>
          <w:rFonts w:ascii="Times New Roman;serif" w:hAnsi="Times New Roman;serif"/>
          <w:b w:val="false"/>
          <w:color w:val="000000"/>
          <w:sz w:val="20"/>
        </w:rPr>
        <w:t>As of June 30, 2026, the Company had repurchased approximately $44 million of its common stock under its share repurchase program and had $21 million remaining under the existing authorization. During the six months ended June 30, 2026, and year to date through July 22, 2026, the Company repurcha</w:t>
      </w:r>
      <w:r>
        <w:rPr>
          <w:rFonts w:ascii="Times New Roman;serif" w:hAnsi="Times New Roman;serif"/>
          <w:b w:val="false"/>
          <w:color w:val="000000"/>
          <w:sz w:val="20"/>
          <w:shd w:fill="FFFFFF" w:val="clear"/>
        </w:rPr>
        <w:t xml:space="preserve">sed </w:t>
      </w:r>
      <w:r>
        <w:rPr>
          <w:rFonts w:ascii="Times New Roman;serif" w:hAnsi="Times New Roman;serif"/>
          <w:b w:val="false"/>
          <w:color w:val="000000"/>
          <w:sz w:val="20"/>
        </w:rPr>
        <w:t>$20 million</w:t>
      </w:r>
      <w:r>
        <w:rPr>
          <w:color w:val="000000"/>
          <w:shd w:fill="FFFFFF" w:val="clear"/>
        </w:rPr>
        <w:t xml:space="preserve"> </w:t>
      </w:r>
      <w:r>
        <w:rPr>
          <w:rFonts w:ascii="Times New Roman;serif" w:hAnsi="Times New Roman;serif"/>
          <w:b w:val="false"/>
          <w:color w:val="000000"/>
          <w:sz w:val="20"/>
        </w:rPr>
        <w:t>of its common stock. On July 21, 2026, the Board approved an additional $40 million authorization, increasing the total authorized amount under the program to $105 million.</w:t>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Acquisition of Copra, Inc.</w:t>
      </w:r>
    </w:p>
    <w:p>
      <w:pPr>
        <w:pStyle w:val="TextBody"/>
        <w:bidi w:val="0"/>
        <w:spacing w:before="0" w:after="2"/>
        <w:jc w:val="left"/>
        <w:rPr/>
      </w:pPr>
      <w:r>
        <w:rPr/>
      </w:r>
    </w:p>
    <w:p>
      <w:pPr>
        <w:pStyle w:val="TextBody"/>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On July 22, 2026, the Company issued a press release announcing that the Company acquired Copra, Inc. ("Copra"), one of the leading producers of super-premium Thai Nam Hom coconut water. </w:t>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 xml:space="preserve">Fiscal Year 2026 Full Year Outlook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is increasing its full year 2026 guidance, which includes balance of year for Copra, as follows:</w:t>
      </w:r>
    </w:p>
    <w:p>
      <w:pPr>
        <w:pStyle w:val="TextBody"/>
        <w:bidi w:val="0"/>
        <w:spacing w:lineRule="auto" w:line="288" w:before="0" w:after="2"/>
        <w:ind w:left="0" w:right="0" w:hanging="540"/>
        <w:jc w:val="left"/>
        <w:rPr/>
      </w:pPr>
      <w:r>
        <w:rPr>
          <w:color w:val="000000"/>
        </w:rPr>
        <w:t>•</w:t>
      </w:r>
      <w:r>
        <w:rPr>
          <w:rFonts w:ascii="Times New Roman;serif" w:hAnsi="Times New Roman;serif"/>
          <w:b w:val="false"/>
          <w:color w:val="000000"/>
          <w:sz w:val="20"/>
        </w:rPr>
        <w:t xml:space="preserve">Net sales expected to be between $790 million and $805 million, driven by high teens to twenty percent growth of </w:t>
      </w:r>
      <w:r>
        <w:rPr>
          <w:rFonts w:ascii="Times New Roman;serif" w:hAnsi="Times New Roman;serif"/>
          <w:b w:val="false"/>
          <w:i/>
          <w:color w:val="000000"/>
          <w:sz w:val="20"/>
        </w:rPr>
        <w:t>Vita Coco</w:t>
      </w:r>
      <w:r>
        <w:rPr>
          <w:color w:val="000000"/>
        </w:rPr>
        <w:t xml:space="preserve"> </w:t>
      </w:r>
      <w:r>
        <w:rPr>
          <w:rFonts w:ascii="Times New Roman;serif" w:hAnsi="Times New Roman;serif"/>
          <w:b w:val="false"/>
          <w:color w:val="000000"/>
          <w:sz w:val="20"/>
        </w:rPr>
        <w:t>Coconut Water and strong Private Label trends from new and regained business. (Prior guidance was between $720 million and $735 million).</w:t>
      </w:r>
    </w:p>
    <w:p>
      <w:pPr>
        <w:pStyle w:val="TextBody"/>
        <w:bidi w:val="0"/>
        <w:spacing w:lineRule="auto" w:line="288" w:before="0" w:after="2"/>
        <w:ind w:left="0" w:right="0" w:hanging="540"/>
        <w:jc w:val="left"/>
        <w:rPr/>
      </w:pPr>
      <w:r>
        <w:rPr>
          <w:color w:val="000000"/>
        </w:rPr>
        <w:t>•</w:t>
      </w:r>
      <w:r>
        <w:rPr>
          <w:rFonts w:ascii="Times New Roman;serif" w:hAnsi="Times New Roman;serif"/>
          <w:b w:val="false"/>
          <w:color w:val="000000"/>
          <w:sz w:val="20"/>
        </w:rPr>
        <w:t>Gross margin expected to be approximately 40% with benefit relative to prior year from tariff refunds, higher pricing and lower ocean freight partially offset by increased product costs and adverse product mix. (Prior guidance was 38%).</w:t>
      </w:r>
    </w:p>
    <w:p>
      <w:pPr>
        <w:pStyle w:val="TextBody"/>
        <w:bidi w:val="0"/>
        <w:spacing w:before="0" w:after="2"/>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60" w:after="2"/>
        <w:ind w:left="0" w:right="0" w:hanging="540"/>
        <w:jc w:val="left"/>
        <w:rPr/>
      </w:pPr>
      <w:r>
        <w:rPr>
          <w:color w:val="000000"/>
        </w:rPr>
        <w:t>•</w:t>
      </w:r>
      <w:r>
        <w:rPr>
          <w:rFonts w:ascii="Times New Roman;serif" w:hAnsi="Times New Roman;serif"/>
          <w:b w:val="false"/>
          <w:color w:val="000000"/>
          <w:sz w:val="20"/>
        </w:rPr>
        <w:t>Expect to deliver SG&amp;A leverage of one percentage point of sales vs. 2025. (Prior guidance high single digit percentage growth).</w:t>
      </w:r>
    </w:p>
    <w:p>
      <w:pPr>
        <w:pStyle w:val="TextBody"/>
        <w:bidi w:val="0"/>
        <w:spacing w:lineRule="auto" w:line="288" w:before="60" w:after="2"/>
        <w:ind w:left="0" w:right="0" w:hanging="540"/>
        <w:jc w:val="left"/>
        <w:rPr/>
      </w:pPr>
      <w:r>
        <w:rPr>
          <w:color w:val="000000"/>
        </w:rPr>
        <w:t>•</w:t>
      </w:r>
      <w:r>
        <w:rPr>
          <w:rFonts w:ascii="Times New Roman;serif" w:hAnsi="Times New Roman;serif"/>
          <w:b w:val="false"/>
          <w:color w:val="000000"/>
          <w:sz w:val="20"/>
        </w:rPr>
        <w:t>Adjusted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expected to be in the range of $154 million to $161 million. (Prior guidance was between $132 million and $138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Uncertainty and instability in the current operating environment, geopolitical landscape, and global economies, including the military conflict in Iran and related impacts, changes in tariff rates, natural disasters, associated potential competitive pricing actions and our own price elasticity, could affect this outlook and our future results.</w:t>
      </w:r>
    </w:p>
    <w:p>
      <w:pPr>
        <w:pStyle w:val="TextBody"/>
        <w:bidi w:val="0"/>
        <w:spacing w:before="0" w:after="2"/>
        <w:jc w:val="left"/>
        <w:rPr/>
      </w:pPr>
      <w:r>
        <w:rPr/>
      </w:r>
    </w:p>
    <w:p>
      <w:pPr>
        <w:pStyle w:val="TextBody"/>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Footnotes</w:t>
      </w:r>
    </w:p>
    <w:p>
      <w:pPr>
        <w:pStyle w:val="TextBody"/>
        <w:bidi w:val="0"/>
        <w:spacing w:lineRule="auto" w:line="288" w:before="16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(1)Adjusted EBITDA represents earnings before interest, taxes, depreciation, and amortization as adjusted for certain items as set forth in the reconciliation table of U.S. GAAP to non-GAAP information and is a measure calculated and presented on the basis of methodologies other than in accordance with GAAP. Please refer to the Non-GAAP Financial Measures herein for further discussion and reconciliation of this measure to GAAP measures.</w:t>
      </w:r>
    </w:p>
    <w:p>
      <w:pPr>
        <w:pStyle w:val="TextBody"/>
        <w:bidi w:val="0"/>
        <w:spacing w:lineRule="auto" w:line="288" w:before="160" w:after="2"/>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(2)GAAP Net income 2026 outlook is not provided due to the inherent difficulty in quantifying certain amounts due to a variety of factors including the unpredictability in the movement in foreign currency rates, as well as future charges or reversals outside of the normal course of business.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Conference Call and Webcast Details</w:t>
      </w:r>
    </w:p>
    <w:p>
      <w:pPr>
        <w:pStyle w:val="TextBody"/>
        <w:bidi w:val="0"/>
        <w:spacing w:before="0" w:after="2"/>
        <w:jc w:val="left"/>
        <w:rPr/>
      </w:pPr>
      <w:r>
        <w:rPr/>
      </w:r>
    </w:p>
    <w:p>
      <w:pPr>
        <w:pStyle w:val="TextBody"/>
        <w:bidi w:val="0"/>
        <w:spacing w:lineRule="auto" w:line="256" w:before="0" w:after="0"/>
        <w:jc w:val="left"/>
        <w:rPr/>
      </w:pPr>
      <w:r>
        <w:rPr>
          <w:rFonts w:ascii="Times New Roman;serif" w:hAnsi="Times New Roman;serif"/>
          <w:b w:val="false"/>
          <w:color w:val="000000"/>
          <w:sz w:val="20"/>
        </w:rPr>
        <w:t>To participate in the live earnings call and question and answer session, please register at https://register-conf.media-server.com/register/BIeb66856a8514488b970c774b5cc0004d and dial-in information will be provided directly to you. The live audio webcast will be accessible in the “Events” section of the Company’s Investor Relations website at</w:t>
      </w:r>
      <w:r>
        <w:rPr>
          <w:color w:val="3051F2"/>
        </w:rPr>
        <w:t xml:space="preserve"> </w:t>
      </w:r>
      <w:r>
        <w:rPr>
          <w:rFonts w:ascii="Times New Roman;serif" w:hAnsi="Times New Roman;serif"/>
          <w:b w:val="false"/>
          <w:color w:val="0563C1"/>
          <w:sz w:val="20"/>
        </w:rPr>
        <w:t>https://investors.thevitacococompany.com/</w:t>
      </w:r>
      <w:r>
        <w:rPr>
          <w:rFonts w:ascii="Times New Roman;serif" w:hAnsi="Times New Roman;serif"/>
          <w:b w:val="false"/>
          <w:color w:val="000000"/>
          <w:sz w:val="20"/>
        </w:rPr>
        <w:t xml:space="preserve">. An archived replay of the webcast will be available shortly after the live event has concluded.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About The Vita Coco Company</w:t>
      </w:r>
    </w:p>
    <w:p>
      <w:pPr>
        <w:pStyle w:val="TextBody"/>
        <w:bidi w:val="0"/>
        <w:spacing w:lineRule="auto" w:line="268" w:before="240" w:after="283"/>
        <w:jc w:val="left"/>
        <w:rPr/>
      </w:pPr>
      <w:r>
        <w:rPr>
          <w:rFonts w:ascii="Times New Roman;serif" w:hAnsi="Times New Roman;serif"/>
          <w:b w:val="false"/>
          <w:color w:val="000000"/>
          <w:sz w:val="20"/>
        </w:rPr>
        <w:t xml:space="preserve">The Vita Coco Company is a family of brands on a mission to reimagine what’s possible when brands deliver healthy, nutritious, and great tasting products that are better for consumers and better for the world. This includes its flagship coconut water brand </w:t>
      </w:r>
      <w:r>
        <w:rPr>
          <w:rFonts w:ascii="Times New Roman;serif" w:hAnsi="Times New Roman;serif"/>
          <w:b w:val="false"/>
          <w:i/>
          <w:color w:val="000000"/>
          <w:sz w:val="20"/>
        </w:rPr>
        <w:t>Vita Coco</w:t>
      </w:r>
      <w:r>
        <w:rPr>
          <w:rFonts w:ascii="Times New Roman;serif" w:hAnsi="Times New Roman;serif"/>
          <w:b w:val="false"/>
          <w:color w:val="000000"/>
          <w:sz w:val="20"/>
        </w:rPr>
        <w:t xml:space="preserve">, and protein-infused water </w:t>
      </w:r>
      <w:r>
        <w:rPr>
          <w:rFonts w:ascii="Times New Roman;serif" w:hAnsi="Times New Roman;serif"/>
          <w:b w:val="false"/>
          <w:i/>
          <w:color w:val="000000"/>
          <w:sz w:val="20"/>
        </w:rPr>
        <w:t>PWR LIFT</w:t>
      </w:r>
      <w:r>
        <w:rPr>
          <w:rFonts w:ascii="Times New Roman;serif" w:hAnsi="Times New Roman;serif"/>
          <w:b w:val="false"/>
          <w:color w:val="000000"/>
          <w:sz w:val="20"/>
        </w:rPr>
        <w:t xml:space="preserve">. The Company was co-founded in 2004 by Michael Kirban and Ira Liran and is a public benefit corporation and Certified B Corporation. </w:t>
      </w:r>
      <w:r>
        <w:rPr>
          <w:rFonts w:ascii="Times New Roman;serif" w:hAnsi="Times New Roman;serif"/>
          <w:b w:val="false"/>
          <w:i/>
          <w:color w:val="000000"/>
          <w:sz w:val="20"/>
        </w:rPr>
        <w:t>Vita Coco</w:t>
      </w:r>
      <w:r>
        <w:rPr>
          <w:rFonts w:ascii="Times New Roman;serif" w:hAnsi="Times New Roman;serif"/>
          <w:b w:val="false"/>
          <w:color w:val="000000"/>
          <w:sz w:val="20"/>
        </w:rPr>
        <w:t>, the principal brand within the Company’s portfolio, is the leading coconut water brand in the U.S. With electrolytes, nutrients, and vitamins, coconut water has become a top beverage choice among consumers after a workout, in smoothies, as a cocktail mixer, after a night out, and more.</w:t>
      </w:r>
    </w:p>
    <w:p>
      <w:pPr>
        <w:pStyle w:val="TextBody"/>
        <w:bidi w:val="0"/>
        <w:spacing w:lineRule="auto" w:line="268" w:before="360" w:after="283"/>
        <w:jc w:val="left"/>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before="0" w:after="2"/>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Investor Relations: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ICR, Inc.</w:t>
      </w:r>
    </w:p>
    <w:p>
      <w:pPr>
        <w:pStyle w:val="TextBody"/>
        <w:bidi w:val="0"/>
        <w:spacing w:lineRule="auto" w:line="268" w:before="0" w:after="0"/>
        <w:jc w:val="left"/>
        <w:rPr>
          <w:rFonts w:ascii="Times New Roman;serif" w:hAnsi="Times New Roman;serif"/>
          <w:b w:val="false"/>
          <w:color w:val="0094FF"/>
          <w:sz w:val="20"/>
        </w:rPr>
      </w:pPr>
      <w:r>
        <w:rPr>
          <w:rFonts w:ascii="Times New Roman;serif" w:hAnsi="Times New Roman;serif"/>
          <w:b w:val="false"/>
          <w:color w:val="0094FF"/>
          <w:sz w:val="20"/>
        </w:rPr>
        <w:t>investors@thevitacococompany.com</w:t>
      </w:r>
    </w:p>
    <w:p>
      <w:pPr>
        <w:pStyle w:val="TextBody"/>
        <w:bidi w:val="0"/>
        <w:spacing w:before="0" w:after="283"/>
        <w:jc w:val="left"/>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to disclosing results determined in accordance with U.S. GAAP, the Company also discloses certain non-GAAP results of operations, including, but not limited to, Adjusted EBITDA, that include certain adjustments or exclude certain charges and gains that are described in the reconciliation table of U.S. GAAP to non-GAAP information provided at the end of this release. These non-GAAP measures are a key metric used by management and our board of directors to assess our financial performance across reporting periods on a consistent basis by excluding items that we do not believe are indicative of our core operating performance and because we believe it is useful for investors to see the measures that management uses to evaluate the Company. In addition, we believe the presentation of these measures is useful to investors for period-to-period comparisons of results as the items described below in the reconciliation tables do not reflect ongoing operating performance.</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measures are not in accordance with, or an alternative to, U.S. GAAP, and may be different from non-GAAP measures used by other companies. In addition, other companies, including companies in our industry, may calculate such measures differently, which reduces their usefulness as a comparative measure. Investors should not rely on any single financial measure when evaluating our business. This information should be considered as supplemental in nature and is not meant as a substitute for our operating results in accordance with U.S. GAAP. We recommend investors review the U.S. GAAP financial measures included in this earnings release. When viewed in conjunction with our U.S. GAAP results and the accompanying reconciliations, we believe these non-GAAP measures provide greater transparency and a more complete understanding of factors affecting our business than U.S. GAAP measures alone.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Section 27A of the Securities Act of 1933, as amended, and Section 21E of the Securities Exchange Act of 1934, as amended. All statements contained in this press release that do not relate to matters of historical fact should be considered forward-looking statements, including, but not limited to, statements regarding our future financial and operating performance, including our GAAP and non-GAAP guidance, our strategy, projected costs, tariffs, prospects, expectations, plans, objectives of management, supply chain predictions, customer and supplier relationships, expected impact of acquisitions, and expected net sales and category share growth.</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in this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Forward-looking statements involve a number of risks, uncertainties or other factors beyond the Company’s control. These factors include, but are not limited to, those discussed under the caption “Risk Factors” in our Annual Reports on Form 10-K, Quarterly Reports on Form 10-Q and our other filings with the U.S. Securities and Exchange Commission ("SEC") as such factors may be updated from time to time and which are accessible on the SEC’s website at www.sec.gov and the Investor Relations page of our website at https://investors.thevitacococompany.com. Any forward-looking statements contained in this press release speak only as of the date hereof and accordingly undue reliance should not be placed on such statements. We disclaim any obligation or undertaking to update or revise any forward-looking statements contained in this press release, whether as a result of new information, future events or otherwise, other than to the extent required by applicable law.</w:t>
      </w:r>
    </w:p>
    <w:p>
      <w:pPr>
        <w:pStyle w:val="TextBody"/>
        <w:bidi w:val="0"/>
        <w:spacing w:before="0" w:after="2"/>
        <w:jc w:val="left"/>
        <w:rPr/>
      </w:pPr>
      <w:r>
        <w:rPr/>
      </w:r>
    </w:p>
    <w:p>
      <w:pPr>
        <w:pStyle w:val="TextBody"/>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 xml:space="preserve">Website Disclosure </w:t>
      </w:r>
    </w:p>
    <w:p>
      <w:pPr>
        <w:pStyle w:val="TextBody"/>
        <w:bidi w:val="0"/>
        <w:spacing w:before="0" w:after="2"/>
        <w:jc w:val="left"/>
        <w:rPr/>
      </w:pPr>
      <w:r>
        <w:rPr/>
      </w:r>
    </w:p>
    <w:p>
      <w:pPr>
        <w:pStyle w:val="TextBody"/>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We intend to use our websites, vitacoco.com and investors.thevitacococompany.com, as a means for disclosing material non-public information and for complying with the SEC's Regulation FD and other disclosure obligations.</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THE VITA COCO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300"/>
        <w:gridCol w:w="2024"/>
        <w:gridCol w:w="2060"/>
        <w:gridCol w:w="196"/>
        <w:gridCol w:w="736"/>
        <w:gridCol w:w="109"/>
        <w:gridCol w:w="109"/>
        <w:gridCol w:w="109"/>
        <w:gridCol w:w="109"/>
        <w:gridCol w:w="198"/>
        <w:gridCol w:w="746"/>
        <w:gridCol w:w="110"/>
        <w:gridCol w:w="109"/>
        <w:gridCol w:w="109"/>
        <w:gridCol w:w="109"/>
        <w:gridCol w:w="109"/>
        <w:gridCol w:w="109"/>
        <w:gridCol w:w="854"/>
      </w:tblGrid>
      <w:tr>
        <w:trPr/>
        <w:tc>
          <w:tcPr>
            <w:tcW w:w="2300"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16"/>
              </w:rPr>
            </w:pPr>
            <w:r>
              <w:rPr>
                <w:rFonts w:ascii="Times New Roman;serif" w:hAnsi="Times New Roman;serif"/>
                <w:b/>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6384"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278,640 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196,873 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of $2,285 at June 30, 2026, and $2,660 at December 31,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132,312 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81,514 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6384"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82,911 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111,468 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Supplier advances,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693 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Derivative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2,940 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732 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37,775 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30,160 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535,030 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421,440 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8,931 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9,298 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7,791 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7,791 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Supplier advances, long-term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1,860 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Deferred tax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6,466 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6,463 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Right-of-use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10,643 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11,592 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2,389 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2,714 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572,942 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461,158 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30,975 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25,464 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 xml:space="preserve">Accrued expenses and other current liabilities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127,330 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89,461 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Derivative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1,507 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159,426 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116,432 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Operating lease liability, long-term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12,520 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13,087 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172,038 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129,616 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500,000,000 shares authorized; 64,900,349 and 64,186,549 shares issued at June 30, 2026 and December 31, 2025, respectively; 57,397,082 and 57,082,173 shares outstanding at June 30, 2026 and December 31, 2025,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642 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195,611 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185,400 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 xml:space="preserve">Retained earnings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307,939 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228,014 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gain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486 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Treasury stock, 7,503,267 shares at cost as of June 30, 2026, and 7,104,376 as of December 31, 2025.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(103,008)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(83,000)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400,904 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331,542 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572,942 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461,158 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THE VITA COCO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for share and per share data)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90"/>
        <w:gridCol w:w="1422"/>
        <w:gridCol w:w="1306"/>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5"/>
      </w:tblGrid>
      <w:tr>
        <w:trPr/>
        <w:tc>
          <w:tcPr>
            <w:tcW w:w="1690"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216,153 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168,759 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395,918 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299,680 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110,842 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107,494 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218,794 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190,330 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105,311 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61,265 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177,124 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109,350 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36,143 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80,403 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64,935 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63,139 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25,122 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96,721 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44,415 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Unrealized (loss) gain on derivative instruments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Foreign currency (loss) gain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3,018 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8,119 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64,357 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28,171 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101,799 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52,534 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14,906 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21,874 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10,744 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49,451 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22,908 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79,925 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41,790 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Vita Coco Company, Inc. per common share</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57,251,361 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56,795,499 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57,183,296 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56,894,274 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60,642,797 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59,643,348 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60,390,598 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59,809,039 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THE VITA COCO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3"/>
        <w:gridCol w:w="1700"/>
        <w:gridCol w:w="1705"/>
        <w:gridCol w:w="196"/>
        <w:gridCol w:w="736"/>
        <w:gridCol w:w="109"/>
        <w:gridCol w:w="109"/>
        <w:gridCol w:w="109"/>
        <w:gridCol w:w="109"/>
        <w:gridCol w:w="196"/>
        <w:gridCol w:w="646"/>
        <w:gridCol w:w="109"/>
        <w:gridCol w:w="109"/>
        <w:gridCol w:w="109"/>
        <w:gridCol w:w="109"/>
        <w:gridCol w:w="109"/>
        <w:gridCol w:w="109"/>
        <w:gridCol w:w="109"/>
        <w:gridCol w:w="109"/>
        <w:gridCol w:w="109"/>
        <w:gridCol w:w="109"/>
        <w:gridCol w:w="109"/>
        <w:gridCol w:w="109"/>
        <w:gridCol w:w="109"/>
        <w:gridCol w:w="109"/>
        <w:gridCol w:w="109"/>
        <w:gridCol w:w="109"/>
        <w:gridCol w:w="853"/>
      </w:tblGrid>
      <w:tr>
        <w:trPr/>
        <w:tc>
          <w:tcPr>
            <w:tcW w:w="1993"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79,925 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41,790 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ind w:left="0" w:right="0" w:firstLine="540"/>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Amortization of debt issuance cost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(Decrease) increase of 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ind w:left="0" w:right="0" w:firstLine="540"/>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Unrealized (gain) on derivative instruments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(2,594)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(3,884)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ind w:left="0" w:right="0" w:firstLine="540"/>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8,216 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5,148 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ind w:left="0" w:right="0" w:firstLine="540"/>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ind w:left="0" w:right="0" w:hanging="200"/>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ind w:left="0" w:right="0" w:hanging="200"/>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(50,590)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(37,758)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ind w:left="0" w:right="0" w:hanging="200"/>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28,309 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ind w:left="0" w:right="0" w:hanging="200"/>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Prepaid expenses, net supplier advances,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(7,175)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ind w:left="0" w:right="0" w:hanging="200"/>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Accounts payable, accrued expenses,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39,358 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6,272 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96,529 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12,010 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Cash paid for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(612)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(1,508)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6,112 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Cash paid on notes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Cash paid to acquire treasury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(20,008)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(10,053)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(13,899)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(9,081)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Effects of exchange rate changes on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(246)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Net increase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81,772 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2,382 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beginning of the period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198,154 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165,933 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ind w:left="0" w:right="0" w:hanging="200"/>
              <w:jc w:val="left"/>
              <w:rPr>
                <w:sz w:val="4"/>
                <w:szCs w:val="4"/>
              </w:rPr>
            </w:pPr>
            <w:r>
              <w:rPr>
                <w:sz w:val="4"/>
                <w:szCs w:val="4"/>
              </w:rPr>
            </w:r>
          </w:p>
        </w:tc>
      </w:tr>
      <w:tr>
        <w:trPr/>
        <w:tc>
          <w:tcPr>
            <w:tcW w:w="5398" w:type="dxa"/>
            <w:gridSpan w:val="3"/>
            <w:tcBorders/>
            <w:tcMar>
              <w:top w:w="0" w:type="dxa"/>
              <w:left w:w="0" w:type="dxa"/>
              <w:bottom w:w="0" w:type="dxa"/>
              <w:right w:w="0" w:type="dxa"/>
            </w:tcMar>
            <w:vAlign w:val="center"/>
          </w:tcPr>
          <w:p>
            <w:pPr>
              <w:pStyle w:val="TableContents"/>
              <w:bidi w:val="0"/>
              <w:spacing w:lineRule="auto" w:line="273" w:before="0" w:after="2"/>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end of the period (1)</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279,926 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168,315 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$1,281 and $1,264 of restricted cash as of December 31, 2025 and 2024, respectively. Includes $1,286 and $1,273 of restricted cash as of June 30, 2026 and 2025, respectively, reported in other current assets on the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RECONCILIATION FROM GAAP NET INCOME TO NON-GAAP ADJUSTED EBITDA</w:t>
      </w:r>
    </w:p>
    <w:tbl>
      <w:tblPr>
        <w:tblW w:w="9570" w:type="dxa"/>
        <w:jc w:val="left"/>
        <w:tblInd w:w="0" w:type="dxa"/>
        <w:tblLayout w:type="fixed"/>
        <w:tblCellMar>
          <w:top w:w="28" w:type="dxa"/>
          <w:left w:w="28" w:type="dxa"/>
          <w:bottom w:w="28" w:type="dxa"/>
          <w:right w:w="28" w:type="dxa"/>
        </w:tblCellMar>
      </w:tblPr>
      <w:tblGrid>
        <w:gridCol w:w="1544"/>
        <w:gridCol w:w="1355"/>
        <w:gridCol w:w="1376"/>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1544"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49,451 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79,925 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41,790 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(3,018)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14,906 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21,874 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62,363 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26,877 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98,743 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49,924 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Stock-based compensation (a)</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2,962 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8,216 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5,148 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Unrealized loss (gain) on derivative instruments (b)</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(3,884)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Foreign currency loss (gain) (b)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adjustments (c)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67,232 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29,242 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105,910 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51,747 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(a)Non-cash charges related to stock-based compensation, which vary from period to period depending on volume and vesting timing of awards and forfeitures. We adjusted for these charges to facilitate comparison from period to period.</w:t>
      </w:r>
    </w:p>
    <w:p>
      <w:pPr>
        <w:pStyle w:val="TextBody"/>
        <w:bidi w:val="0"/>
        <w:spacing w:lineRule="auto" w:line="288" w:before="0" w:after="2"/>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(b)Unrealized gains or losses on derivative instruments and foreign currency gains or losses are not considered in our evaluation of our ongoing performance.</w:t>
      </w:r>
    </w:p>
    <w:p>
      <w:pPr>
        <w:pStyle w:val="TextBody"/>
        <w:bidi w:val="0"/>
        <w:spacing w:lineRule="auto" w:line="288" w:before="0" w:after="2"/>
        <w:ind w:left="0" w:right="0" w:hanging="540"/>
        <w:jc w:val="left"/>
        <w:rPr/>
      </w:pPr>
      <w:r>
        <w:rPr>
          <w:rFonts w:ascii="Aptos;sans-serif" w:hAnsi="Aptos;sans-serif"/>
          <w:b w:val="false"/>
          <w:color w:val="000000"/>
          <w:sz w:val="20"/>
        </w:rPr>
        <w:t>(c)</w:t>
      </w:r>
      <w:r>
        <w:rPr>
          <w:rFonts w:ascii="Times New Roman;serif" w:hAnsi="Times New Roman;serif"/>
          <w:b w:val="false"/>
          <w:color w:val="000000"/>
          <w:sz w:val="20"/>
        </w:rPr>
        <w:t>The three and six months ended June 30, 2025 included $0.6 million and $1.2 million, respectively, related to a one-time incentive program established in 2023 and measured based on full-year 2025 performance, and $0.4 million and $0.7 million, respectively, of overlapping rent expense associated with our new New York City office. The six-month period was partially offset by $0.1 million of partial recoveries of prepaid inventory from a supplier (refer to the Form 10-K for further details) and a $0.2 million gain from a sale of intellectual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240" w:after="2"/>
        <w:jc w:val="left"/>
        <w:rPr>
          <w:rFonts w:ascii="Times New Roman;serif" w:hAnsi="Times New Roman;serif"/>
          <w:b/>
          <w:color w:val="000000"/>
          <w:sz w:val="20"/>
        </w:rPr>
      </w:pPr>
      <w:r>
        <w:rPr>
          <w:rFonts w:ascii="Times New Roman;serif" w:hAnsi="Times New Roman;serif"/>
          <w:b/>
          <w:color w:val="000000"/>
          <w:sz w:val="20"/>
        </w:rPr>
        <w:t>SUPPLEMENTAL INFORMATION</w:t>
      </w:r>
    </w:p>
    <w:tbl>
      <w:tblPr>
        <w:tblW w:w="7980" w:type="dxa"/>
        <w:jc w:val="left"/>
        <w:tblInd w:w="0" w:type="dxa"/>
        <w:tblLayout w:type="fixed"/>
        <w:tblCellMar>
          <w:top w:w="28" w:type="dxa"/>
          <w:left w:w="28" w:type="dxa"/>
          <w:bottom w:w="28" w:type="dxa"/>
          <w:right w:w="28" w:type="dxa"/>
        </w:tblCellMar>
      </w:tblPr>
      <w:tblGrid>
        <w:gridCol w:w="857"/>
        <w:gridCol w:w="755"/>
        <w:gridCol w:w="75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 SALES</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Americas segment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Vita Coco Coconut Water</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137,921 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120,450 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255,954 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206,568 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26,901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14,685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51,301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35,882</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7,643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6,826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13,374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12,111</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$172,465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$141,961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$320,629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$254,561</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International segment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Vita Coco Coconut Water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31,763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19,882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54,283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33,059</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11,328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6,222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20,165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10,981</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1,079</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43,688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26,798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75,289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45,119</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216,153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168,759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395,918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299,680</w:t>
            </w:r>
          </w:p>
        </w:tc>
      </w:tr>
    </w:tbl>
    <w:tbl>
      <w:tblPr>
        <w:tblW w:w="8478" w:type="dxa"/>
        <w:jc w:val="left"/>
        <w:tblInd w:w="0" w:type="dxa"/>
        <w:tblLayout w:type="fixed"/>
        <w:tblCellMar>
          <w:top w:w="28" w:type="dxa"/>
          <w:left w:w="28" w:type="dxa"/>
          <w:bottom w:w="28" w:type="dxa"/>
          <w:right w:w="28" w:type="dxa"/>
        </w:tblCellMar>
      </w:tblPr>
      <w:tblGrid>
        <w:gridCol w:w="1009"/>
        <w:gridCol w:w="889"/>
        <w:gridCol w:w="892"/>
        <w:gridCol w:w="317"/>
        <w:gridCol w:w="222"/>
        <w:gridCol w:w="559"/>
        <w:gridCol w:w="163"/>
        <w:gridCol w:w="163"/>
        <w:gridCol w:w="163"/>
        <w:gridCol w:w="317"/>
        <w:gridCol w:w="222"/>
        <w:gridCol w:w="559"/>
        <w:gridCol w:w="112"/>
        <w:gridCol w:w="112"/>
        <w:gridCol w:w="112"/>
        <w:gridCol w:w="287"/>
        <w:gridCol w:w="224"/>
        <w:gridCol w:w="557"/>
        <w:gridCol w:w="147"/>
        <w:gridCol w:w="147"/>
        <w:gridCol w:w="147"/>
        <w:gridCol w:w="287"/>
        <w:gridCol w:w="256"/>
        <w:gridCol w:w="615"/>
      </w:tblGrid>
      <w:tr>
        <w:trPr/>
        <w:tc>
          <w:tcPr>
            <w:tcW w:w="10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5688"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COST OF GOODS SOLD &amp; GROSS PROFIT</w:t>
            </w:r>
          </w:p>
        </w:tc>
      </w:tr>
      <w:tr>
        <w:trPr/>
        <w:tc>
          <w:tcPr>
            <w:tcW w:w="2790"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685"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Cost of goods sold</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Americas segment</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83,185</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90,915</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170,415</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161,203</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 segment</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27,657</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16,579</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48,379</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29,127</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cost of goods sold</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110,842</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107,494</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218,794</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190,330</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Gross profit</w:t>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Americas segment</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89,281</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51,046</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150,215</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93,358</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 segment</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16,030</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10,219</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26,909</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15,992</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105,311</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61,265</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177,124</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109,350</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Gross margin</w:t>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Americas segment</w:t>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615"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 segment</w:t>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559"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559"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615"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615"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354" w:type="dxa"/>
        <w:jc w:val="left"/>
        <w:tblInd w:w="0" w:type="dxa"/>
        <w:tblLayout w:type="fixed"/>
        <w:tblCellMar>
          <w:top w:w="28" w:type="dxa"/>
          <w:left w:w="28" w:type="dxa"/>
          <w:bottom w:w="28" w:type="dxa"/>
          <w:right w:w="28" w:type="dxa"/>
        </w:tblCellMar>
      </w:tblPr>
      <w:tblGrid>
        <w:gridCol w:w="803"/>
        <w:gridCol w:w="707"/>
        <w:gridCol w:w="709"/>
        <w:gridCol w:w="334"/>
        <w:gridCol w:w="334"/>
        <w:gridCol w:w="832"/>
        <w:gridCol w:w="260"/>
        <w:gridCol w:w="260"/>
        <w:gridCol w:w="260"/>
        <w:gridCol w:w="401"/>
        <w:gridCol w:w="401"/>
        <w:gridCol w:w="998"/>
        <w:gridCol w:w="260"/>
        <w:gridCol w:w="260"/>
        <w:gridCol w:w="260"/>
        <w:gridCol w:w="260"/>
        <w:gridCol w:w="260"/>
        <w:gridCol w:w="755"/>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15"/>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VOLUME (CE)</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15"/>
            <w:tcBorders/>
            <w:tcMar>
              <w:top w:w="0" w:type="dxa"/>
              <w:left w:w="0" w:type="dxa"/>
              <w:bottom w:w="0" w:type="dxa"/>
              <w:right w:w="0" w:type="dxa"/>
            </w:tcMar>
            <w:vAlign w:val="center"/>
          </w:tcPr>
          <w:p>
            <w:pPr>
              <w:pStyle w:val="TableContents"/>
              <w:bidi w:val="0"/>
              <w:spacing w:lineRule="auto" w:line="288" w:before="0" w:after="2"/>
              <w:ind w:left="0" w:right="0" w:hanging="180"/>
              <w:jc w:val="center"/>
              <w:rPr>
                <w:rFonts w:ascii="Times New Roman;serif" w:hAnsi="Times New Roman;serif"/>
                <w:b/>
                <w:color w:val="000000"/>
                <w:sz w:val="18"/>
              </w:rPr>
            </w:pPr>
            <w:r>
              <w:rPr>
                <w:rFonts w:ascii="Times New Roman;serif" w:hAnsi="Times New Roman;serif"/>
                <w:b/>
                <w:color w:val="000000"/>
                <w:sz w:val="18"/>
              </w:rPr>
              <w:t>Percentage Change - Three Months Ended June 30, 2026 vs. 2025</w:t>
            </w:r>
          </w:p>
        </w:tc>
      </w:tr>
      <w:tr>
        <w:trPr/>
        <w:tc>
          <w:tcPr>
            <w:tcW w:w="221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ind w:left="0" w:right="0" w:hanging="180"/>
              <w:jc w:val="center"/>
              <w:rPr>
                <w:rFonts w:ascii="Times New Roman;serif" w:hAnsi="Times New Roman;serif"/>
                <w:b/>
                <w:color w:val="000000"/>
                <w:sz w:val="18"/>
              </w:rPr>
            </w:pPr>
            <w:r>
              <w:rPr>
                <w:rFonts w:ascii="Times New Roman;serif" w:hAnsi="Times New Roman;serif"/>
                <w:b/>
                <w:color w:val="000000"/>
                <w:sz w:val="18"/>
              </w:rPr>
              <w:t>Americas segment</w:t>
            </w:r>
          </w:p>
        </w:tc>
        <w:tc>
          <w:tcPr>
            <w:tcW w:w="78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ind w:left="0" w:right="0" w:hanging="180"/>
              <w:jc w:val="center"/>
              <w:rPr>
                <w:rFonts w:ascii="Times New Roman;serif" w:hAnsi="Times New Roman;serif"/>
                <w:b/>
                <w:color w:val="000000"/>
                <w:sz w:val="18"/>
              </w:rPr>
            </w:pPr>
            <w:r>
              <w:rPr>
                <w:rFonts w:ascii="Times New Roman;serif" w:hAnsi="Times New Roman;serif"/>
                <w:b/>
                <w:color w:val="000000"/>
                <w:sz w:val="18"/>
              </w:rPr>
              <w:t>International segment</w:t>
            </w:r>
          </w:p>
        </w:tc>
        <w:tc>
          <w:tcPr>
            <w:tcW w:w="78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ind w:left="0" w:right="0" w:hanging="18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Vita Coco Coconut Water</w:t>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668" w:type="dxa"/>
            <w:gridSpan w:val="2"/>
            <w:tcBorders/>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832" w:type="dxa"/>
            <w:tcBorders/>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998" w:type="dxa"/>
            <w:tcBorders/>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755" w:type="dxa"/>
            <w:tcBorders/>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832"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998"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755"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6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83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99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75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
              <w:ind w:left="0" w:right="0" w:hanging="180"/>
              <w:jc w:val="center"/>
              <w:rPr>
                <w:rFonts w:ascii="Times New Roman;serif" w:hAnsi="Times New Roman;serif"/>
                <w:b/>
                <w:color w:val="000000"/>
                <w:sz w:val="18"/>
              </w:rPr>
            </w:pPr>
            <w:r>
              <w:rPr>
                <w:rFonts w:ascii="Times New Roman;serif" w:hAnsi="Times New Roman;serif"/>
                <w:b/>
                <w:color w:val="000000"/>
                <w:sz w:val="18"/>
              </w:rPr>
              <w:t>Percentage Change - Six Months Ended June 30, 2026 vs. 2025</w:t>
            </w:r>
          </w:p>
        </w:tc>
      </w:tr>
      <w:tr>
        <w:trPr/>
        <w:tc>
          <w:tcPr>
            <w:tcW w:w="221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ind w:left="0" w:right="0" w:hanging="180"/>
              <w:jc w:val="center"/>
              <w:rPr>
                <w:rFonts w:ascii="Times New Roman;serif" w:hAnsi="Times New Roman;serif"/>
                <w:b/>
                <w:color w:val="000000"/>
                <w:sz w:val="18"/>
              </w:rPr>
            </w:pPr>
            <w:r>
              <w:rPr>
                <w:rFonts w:ascii="Times New Roman;serif" w:hAnsi="Times New Roman;serif"/>
                <w:b/>
                <w:color w:val="000000"/>
                <w:sz w:val="18"/>
              </w:rPr>
              <w:t>Americas segment</w:t>
            </w:r>
          </w:p>
        </w:tc>
        <w:tc>
          <w:tcPr>
            <w:tcW w:w="78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ind w:left="0" w:right="0" w:hanging="180"/>
              <w:jc w:val="center"/>
              <w:rPr>
                <w:rFonts w:ascii="Times New Roman;serif" w:hAnsi="Times New Roman;serif"/>
                <w:b/>
                <w:color w:val="000000"/>
                <w:sz w:val="18"/>
              </w:rPr>
            </w:pPr>
            <w:r>
              <w:rPr>
                <w:rFonts w:ascii="Times New Roman;serif" w:hAnsi="Times New Roman;serif"/>
                <w:b/>
                <w:color w:val="000000"/>
                <w:sz w:val="18"/>
              </w:rPr>
              <w:t>International segment</w:t>
            </w:r>
          </w:p>
        </w:tc>
        <w:tc>
          <w:tcPr>
            <w:tcW w:w="78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ind w:left="0" w:right="0" w:hanging="18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Vita Coco Coconut Water</w:t>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668" w:type="dxa"/>
            <w:gridSpan w:val="2"/>
            <w:tcBorders/>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832" w:type="dxa"/>
            <w:tcBorders/>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998" w:type="dxa"/>
            <w:tcBorders/>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755" w:type="dxa"/>
            <w:tcBorders/>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832"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998"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755"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66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8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9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7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Note: A CE is a standard volume measure used by management which is defined as a case of 12 bottles of 330ml liquid beverages or the same liter volume of oil. We may have immaterial sales of raw materials at times that are treated as zero CEs for the purposes of these calculations.</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4042</Words>
  <Characters>22207</Characters>
  <CharactersWithSpaces>25771</CharactersWithSpaces>
  <Paragraphs>719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