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Sadowsky Kenneth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5TH AVENUE 2ND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Vita Coco Company, Inc.</w:t>
              </w:r>
            </w:hyperlink>
            <w:r>
              <w:rPr/>
              <w:t xml:space="preserve"> [ </w:t>
            </w:r>
            <w:r>
              <w:rPr>
                <w:rFonts w:ascii="Times;serif" w:hAnsi="Times;serif"/>
                <w:color w:val="0000FF"/>
                <w:sz w:val="24"/>
                <w:shd w:fill="FFFFFF" w:val="clear"/>
              </w:rPr>
              <w:t>COCO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82.916</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580,296</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53"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3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Non-Qualified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10.178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27,300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27,300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of shares of common stock reported were effected pursuant to a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$82.19 to $83.69, inclusive. The reporting person undertakes to provide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stock option is fully vested and currently exercisable.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Alison Klein, Attorney-in-Fact for Kenneth Sadowsky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86372" TargetMode="External"/><Relationship Id="rId5" Type="http://schemas.openxmlformats.org/officeDocument/2006/relationships/hyperlink" Target="http://www.sec.gov/cgi-bin/browse-edgar?action=getcompany&amp;CIK=00014829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676</Words>
  <Characters>3648</Characters>
  <CharactersWithSpaces>4258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