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Prior Jane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5TH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Vita Coco Company, Inc.</w:t>
              </w:r>
            </w:hyperlink>
            <w:r>
              <w:rPr/>
              <w:t xml:space="preserve"> [ </w:t>
            </w:r>
            <w:r>
              <w:rPr>
                <w:rFonts w:ascii="Times;serif" w:hAnsi="Times;serif"/>
                <w:color w:val="0000FF"/>
                <w:sz w:val="24"/>
                <w:shd w:fill="FFFFFF" w:val="clear"/>
              </w:rPr>
              <w:t>COCO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115,780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3"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3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45,605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16.91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16.91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disposition reported on this Form 4 represents shares withheld to cover tax withholding obligations in connection with the vesting and settlement of Restricted Stock Units. The disposition is mandated by the Issuer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is fully vested and currently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vests in four equal annual installments beginning on November 27,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vests in three equal annual installments beginning on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is eligible to vest if certain performance conditions are met by the target date for the applicable performance condition(s) and expire if the performance conditions are not met by the final target date. The performance conditions applicable were timely satisfied, resulting in vesting of the option as to 14,025 shares on February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options vest in four annual equal installments beginning on March 10,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vests in four equal annual installments beginning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was granted stock options that will vest in four annual equal installments on each anniversary of the grant date provided that the Reporting Person remains in continuous service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Klein, attorney-in-fact for Jane Prior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154" TargetMode="External"/><Relationship Id="rId5" Type="http://schemas.openxmlformats.org/officeDocument/2006/relationships/hyperlink" Target="http://www.sec.gov/cgi-bin/browse-edgar?action=getcompany&amp;CIK=00014829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4729</Characters>
  <CharactersWithSpaces>5473</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