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s-3asr.htm"/>
      <w:bookmarkStart w:id="1" w:name="ksforms3asr"/>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filed with the Securities and Exchange Commission on July 23, 2026.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Washington, D.C. 20549</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Form S-3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The Vita Coco Company,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660"/>
        <w:gridCol w:w="60"/>
        <w:gridCol w:w="1970"/>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11-3713156</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 Fifth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Floor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(212) 206-0763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including zip code, and telephone number, including area code, of registrant’s principal executive offices)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Martin Roper, Chief Executive Officer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Vita Coco Company,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 Fifth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Floor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(212) 206-0763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including zip code, and telephone number, including area code,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Copies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Brian Short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Ballard Spahr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1735 Market Street, 51st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Philadelphia, PA 19103-7599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 864-8230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286250"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86250" cy="10001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Vita Coco Company,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467,071 Shares of Common Stock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Offered by the Selling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of 467,071 shares of common stock, par value $0.01 per share (the “common stock”), of The Vita Coco Company, Inc. (the “Company,” “Vita Coco,” “we,” “us,” or “our company”) by the selling stockholders (which term as used in this prospectus includes their respective transferees, pledgees, assignees, distributees, donees and successors-in-interest) (the “Selling Stockholders”) identified herein, originally issued in connection with our acquisition of Copra, Inc. which closed on July 22, 2026 (the “Merger”). We are registering the securities for resale pursuant to the Selling Stockholders’ registration rights under that certain registration rights agreement between us and the Selling Stockholders, entered into in connection with the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any of the Selling Stockholders offer and sell securities, we will provide this prospectus and, if applicable, a supplement to this prospectus that contains specific information about the offering. The prospectus supplement may also add, update or change information contained in this prospectus with respect to that offering. You should carefully read this prospectus and the applicable prospectus supplement, if any, before you invest in any of our securities. No securities may be sold without delivery of this prospectus and any applicable prospectus supplement describing the method and terms of the offering of such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their shares, from time to time, in one or more offerings, at prevailing market prices at the time of sale, at prices related to the prevailing market price, at varying prices determined at the time of sale, or at negotiated prices. The Selling Stockholders may sell shares in a manner including, but not limited to, regular brokerage transactions, in transactions directly with market makers or investors, in privately negotiated transactions or through agents or underwriters they may select from time to time. See “Plan of Distribution” for more information on the methods of sale that may be used by the Selling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offering any common stock for sale under this prospectus, and we will not receive any proceeds from the sale of the common stock by the Selling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i w:val="false"/>
          <w:caps w:val="false"/>
          <w:smallCaps w:val="false"/>
          <w:sz w:val="20"/>
        </w:rPr>
        <w:t>INVESTING IN OUR SECURITIES INVOLVES RISKS. SEE THE “</w:t>
      </w:r>
      <w:hyperlink w:anchor="Rma_002">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xml:space="preserve">” ON PAGE 7 OF THIS PROSPECTUS AND ANY SIMILAR SECTION CONTAINED IN THE APPLICABLE PROSPECTUS SUPPLEMENT CONCERNING FACTORS YOU SHOULD CONSIDER BEFORE INVESTING IN OUR SECURITIES.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under the symbol “COCO.” On July 22, 2026, the last reported sale price of our common stock on the Nasdaq Stock Market was $74.45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is July 23, 2026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250"/>
        <w:gridCol w:w="245"/>
      </w:tblGrid>
      <w:tr>
        <w:trPr/>
        <w:tc>
          <w:tcPr>
            <w:tcW w:w="7250" w:type="dxa"/>
            <w:tcBorders/>
            <w:shd w:fill="CCEEFF" w:val="clear"/>
            <w:vAlign w:val="center"/>
          </w:tcPr>
          <w:p>
            <w:pPr>
              <w:pStyle w:val="TableContents"/>
              <w:bidi w:val="0"/>
              <w:spacing w:before="0" w:after="283"/>
              <w:jc w:val="left"/>
              <w:rPr/>
            </w:pPr>
            <w:hyperlink w:anchor="ma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0" w:type="dxa"/>
            <w:tcBorders/>
            <w:shd w:fill="FFFFFF" w:val="clear"/>
            <w:vAlign w:val="center"/>
          </w:tcPr>
          <w:p>
            <w:pPr>
              <w:pStyle w:val="TableContents"/>
              <w:bidi w:val="0"/>
              <w:spacing w:before="0" w:after="283"/>
              <w:jc w:val="left"/>
              <w:rPr/>
            </w:pPr>
            <w:hyperlink w:anchor="ma_002">
              <w:r>
                <w:rPr>
                  <w:rStyle w:val="InternetLink"/>
                  <w:rFonts w:ascii="Times New Roman;Times;Serif" w:hAnsi="Times New Roman;Times;Serif"/>
                  <w:b w:val="false"/>
                  <w:i w:val="false"/>
                  <w:caps w:val="false"/>
                  <w:smallCaps w:val="false"/>
                  <w:sz w:val="20"/>
                </w:rPr>
                <w:t>TRADEMARKS, SERVICE MARKS AND TRADENAMES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0" w:type="dxa"/>
            <w:tcBorders/>
            <w:shd w:fill="CCEEFF" w:val="clear"/>
            <w:vAlign w:val="center"/>
          </w:tcPr>
          <w:p>
            <w:pPr>
              <w:pStyle w:val="TableContents"/>
              <w:bidi w:val="0"/>
              <w:spacing w:before="0" w:after="283"/>
              <w:jc w:val="left"/>
              <w:rPr/>
            </w:pPr>
            <w:hyperlink w:anchor="ma_003">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0" w:type="dxa"/>
            <w:tcBorders/>
            <w:shd w:fill="FFFFFF" w:val="clear"/>
            <w:vAlign w:val="center"/>
          </w:tcPr>
          <w:p>
            <w:pPr>
              <w:pStyle w:val="TableContents"/>
              <w:bidi w:val="0"/>
              <w:spacing w:before="0" w:after="283"/>
              <w:jc w:val="left"/>
              <w:rPr/>
            </w:pPr>
            <w:hyperlink w:anchor="ma_004">
              <w:r>
                <w:rPr>
                  <w:rStyle w:val="InternetLink"/>
                  <w:rFonts w:ascii="Times New Roman;Times;Serif" w:hAnsi="Times New Roman;Times;Serif"/>
                  <w:b w:val="false"/>
                  <w:i w:val="false"/>
                  <w:caps w:val="false"/>
                  <w:smallCaps w:val="false"/>
                  <w:sz w:val="20"/>
                </w:rPr>
                <w:t>WHERE YOU CAN FIND MORE INFORMATION; INCORPORATION BY REFERENCE</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250" w:type="dxa"/>
            <w:tcBorders/>
            <w:shd w:fill="CCEEFF" w:val="clear"/>
            <w:vAlign w:val="center"/>
          </w:tcPr>
          <w:p>
            <w:pPr>
              <w:pStyle w:val="TableContents"/>
              <w:bidi w:val="0"/>
              <w:spacing w:before="0" w:after="283"/>
              <w:jc w:val="left"/>
              <w:rPr/>
            </w:pPr>
            <w:hyperlink w:anchor="Rma_001">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250" w:type="dxa"/>
            <w:tcBorders/>
            <w:shd w:fill="FFFFFF" w:val="clear"/>
            <w:vAlign w:val="center"/>
          </w:tcPr>
          <w:p>
            <w:pPr>
              <w:pStyle w:val="TableContents"/>
              <w:bidi w:val="0"/>
              <w:spacing w:before="0" w:after="283"/>
              <w:jc w:val="left"/>
              <w:rPr/>
            </w:pPr>
            <w:hyperlink w:anchor="Rma_002">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250" w:type="dxa"/>
            <w:tcBorders/>
            <w:shd w:fill="CCEEFF" w:val="clear"/>
            <w:vAlign w:val="center"/>
          </w:tcPr>
          <w:p>
            <w:pPr>
              <w:pStyle w:val="TableContents"/>
              <w:bidi w:val="0"/>
              <w:spacing w:before="0" w:after="283"/>
              <w:jc w:val="left"/>
              <w:rPr/>
            </w:pPr>
            <w:hyperlink w:anchor="Rma_003">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250" w:type="dxa"/>
            <w:tcBorders/>
            <w:shd w:fill="FFFFFF" w:val="clear"/>
            <w:vAlign w:val="center"/>
          </w:tcPr>
          <w:p>
            <w:pPr>
              <w:pStyle w:val="TableContents"/>
              <w:bidi w:val="0"/>
              <w:spacing w:before="0" w:after="283"/>
              <w:jc w:val="left"/>
              <w:rPr/>
            </w:pPr>
            <w:hyperlink w:anchor="Rma_004">
              <w:r>
                <w:rPr>
                  <w:rStyle w:val="InternetLink"/>
                  <w:rFonts w:ascii="Times New Roman;Times;Serif" w:hAnsi="Times New Roman;Times;Serif"/>
                  <w:b w:val="false"/>
                  <w:i w:val="false"/>
                  <w:caps w:val="false"/>
                  <w:smallCaps w:val="false"/>
                  <w:sz w:val="20"/>
                </w:rPr>
                <w:t>DESCRIPTION OF CAPITAL STOCK</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250" w:type="dxa"/>
            <w:tcBorders/>
            <w:shd w:fill="CCEEFF" w:val="clear"/>
            <w:vAlign w:val="center"/>
          </w:tcPr>
          <w:p>
            <w:pPr>
              <w:pStyle w:val="TableContents"/>
              <w:bidi w:val="0"/>
              <w:spacing w:before="0" w:after="283"/>
              <w:jc w:val="left"/>
              <w:rPr/>
            </w:pPr>
            <w:hyperlink w:anchor="ma_005">
              <w:r>
                <w:rPr>
                  <w:rStyle w:val="InternetLink"/>
                  <w:rFonts w:ascii="Times New Roman;Times;Serif" w:hAnsi="Times New Roman;Times;Serif"/>
                  <w:b w:val="false"/>
                  <w:i w:val="false"/>
                  <w:caps w:val="false"/>
                  <w:smallCaps w:val="false"/>
                  <w:sz w:val="20"/>
                </w:rPr>
                <w:t>SELLING STOCKHOLDERS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250" w:type="dxa"/>
            <w:tcBorders/>
            <w:shd w:fill="FFFFFF" w:val="clear"/>
            <w:vAlign w:val="center"/>
          </w:tcPr>
          <w:p>
            <w:pPr>
              <w:pStyle w:val="TableContents"/>
              <w:bidi w:val="0"/>
              <w:spacing w:before="0" w:after="283"/>
              <w:jc w:val="left"/>
              <w:rPr/>
            </w:pPr>
            <w:hyperlink w:anchor="ma_006">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250" w:type="dxa"/>
            <w:tcBorders/>
            <w:shd w:fill="CCEEFF" w:val="clear"/>
            <w:vAlign w:val="center"/>
          </w:tcPr>
          <w:p>
            <w:pPr>
              <w:pStyle w:val="TableContents"/>
              <w:bidi w:val="0"/>
              <w:spacing w:before="0" w:after="283"/>
              <w:jc w:val="left"/>
              <w:rPr/>
            </w:pPr>
            <w:hyperlink w:anchor="ma_007">
              <w:r>
                <w:rPr>
                  <w:rStyle w:val="InternetLink"/>
                  <w:rFonts w:ascii="Times New Roman;Times;Serif" w:hAnsi="Times New Roman;Times;Serif"/>
                  <w:b w:val="false"/>
                  <w:i w:val="false"/>
                  <w:caps w:val="false"/>
                  <w:smallCaps w:val="false"/>
                  <w:sz w:val="20"/>
                </w:rPr>
                <w:t>LEGAL MATTERS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250" w:type="dxa"/>
            <w:tcBorders/>
            <w:shd w:fill="FFFFFF" w:val="clear"/>
            <w:vAlign w:val="center"/>
          </w:tcPr>
          <w:p>
            <w:pPr>
              <w:pStyle w:val="TableContents"/>
              <w:bidi w:val="0"/>
              <w:spacing w:before="0" w:after="283"/>
              <w:jc w:val="left"/>
              <w:rPr/>
            </w:pPr>
            <w:hyperlink w:anchor="ma_008">
              <w:r>
                <w:rPr>
                  <w:rStyle w:val="InternetLink"/>
                  <w:rFonts w:ascii="Times New Roman;Times;Serif" w:hAnsi="Times New Roman;Times;Serif"/>
                  <w:b w:val="false"/>
                  <w:i w:val="false"/>
                  <w:caps w:val="false"/>
                  <w:smallCaps w:val="false"/>
                  <w:sz w:val="20"/>
                </w:rPr>
                <w:t>EXPERTS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ma_001"/>
      <w:bookmarkEnd w:id="2"/>
      <w:r>
        <w:rPr>
          <w:rFonts w:ascii="Times New Roman;Times;Serif" w:hAnsi="Times New Roman;Times;Serif"/>
          <w:b/>
          <w:i w:val="false"/>
          <w:caps w:val="false"/>
          <w:smallCaps w:val="false"/>
          <w:sz w:val="20"/>
        </w:rPr>
        <w:t xml:space="preserve">ABOUT THIS 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 part of an automatic registration statement on Form S-3 that we filed with the Securities and Exchange Commission (the “SEC”) as a “well-known seasoned issuer” as defined in Rule 405 of the Securities Act of 1933, as amended (the “Securities Act”), utilizing a “shelf” registration process. Under this shelf registration process, the Selling Stockholders may from time to time sell up to an aggregate 467,071 shares of our common stock in one or more offerings. This prospectus provides you with a general description of the securities that our Selling Stockholders may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Stockholders take no responsibility for, and can provide no assurance as to the reliability of, any other information that others may give you. We and the Selling Stockholders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Accordingly, such representations, warranties and covenants should not be relied on as accurately representing the current state of our affairs.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“Vita Coco,” “we,” “our,” “us” and the “Company” in this prospectus, we mean The Vita Coco Company, Inc. and its consolidated subsidiaries, unless otherwise specified. When we refer to “you,” we mean the potential holders of the securities.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ma_002"/>
      <w:bookmarkEnd w:id="3"/>
      <w:r>
        <w:rPr>
          <w:rFonts w:ascii="Times New Roman;Times;Serif" w:hAnsi="Times New Roman;Times;Serif"/>
          <w:b/>
          <w:i w:val="false"/>
          <w:caps w:val="false"/>
          <w:smallCaps w:val="false"/>
          <w:sz w:val="20"/>
        </w:rPr>
        <w:t xml:space="preserve">TRADEMARKS, SERVICE MARKS AND TRADENAMES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proprietary rights to trademarks, trade names and service marks appearing or incorporated by reference in this prospectus that are important to our business. Solely for convenience, the trademarks, trade names and service marks may appear in this prospectus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symbols, but any such references are not intended to indicate, in any way, that we forgo or will not assert, to the fullest extent under applicable law, our rights or the rights of the applicable licensors to these trademarks, trade names and service marks. All trademarks, trade names and service marks appearing or incorporated by reference in this prospectus are the property of their respective owners.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ma_003"/>
      <w:bookmarkEnd w:id="4"/>
      <w:r>
        <w:rPr>
          <w:rFonts w:ascii="Times New Roman;Times;Serif" w:hAnsi="Times New Roman;Times;Serif"/>
          <w:b/>
          <w:i w:val="false"/>
          <w:caps w:val="false"/>
          <w:smallCaps w:val="false"/>
          <w:sz w:val="20"/>
        </w:rPr>
        <w:t xml:space="preserve">SPECIAL NOTE REGARDING FORWARD-LOOKING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prospectus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prospectus include, but are not limited to, statements regarding our future results of operations and financial position, industry and business trends, equity compensation, business strategy, projected costs, plans, prospects, expectations, market growth, new products, supply chain predictions, and our objectives for future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but not limited to, the important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in our other filings with the Securities and Exchange Commission, that may cause our actual results, performance or achievements to differ materially and adversely from those expressed or implied by the forward-looking statements. The forward-looking statements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reference in this prospectus and have filed as exhibits to this prospectus with the understanding that our actual future results, performance and achievements may be materially different from what we expect. We qualify all of our forward-looking statements by these cautionary statements. These forward-looking statements speak only as of the date of this prospectus. Except as required by applicable law, we do not plan to publicly update or revise any forward-looking statements contained in this prospectus, whether as a result of any new information, future events or otherwise.</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ma_004"/>
      <w:bookmarkEnd w:id="5"/>
      <w:r>
        <w:rPr>
          <w:rFonts w:ascii="Times New Roman;Times;Serif" w:hAnsi="Times New Roman;Times;Serif"/>
          <w:b/>
          <w:i w:val="false"/>
          <w:caps w:val="false"/>
          <w:smallCaps w:val="false"/>
          <w:sz w:val="20"/>
        </w:rPr>
        <w:t xml:space="preserve">WHERE YOU CAN FIND MORE INFORMATION; INCORPORATION BY REFERENCE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Available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 site address is www.thevitacococompany.com. The information on our web site, however, is not, and should not be deemed to be, a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prospectus supplement are part of a registration statement that we filed with the SEC and do not contain all of the information in the registration statement. The full registration statement may be obtained from the SEC or us, as provided below. Any statements contained herein concerning the provisions of any document are not necessarily complete, and, in each instance, reference is made to the copy of such document filed as an exhibit to the registration statement or otherwise filed with the SEC. Each such statement is qualified in its entirety by such reference.. You may inspect a copy of the registration statement through the SEC’s website, as provided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Incorporation by Reference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that have previously been filed with the SEC: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70"/>
        <w:gridCol w:w="9900"/>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with the SEC on February 18, 2026.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information specifically incorporated by reference into our Annual Report on Form 10-K from our Definitive Proxy Statement on </w:t>
            </w:r>
            <w:hyperlink r:id="rId4">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filed with the SEC on April 22, 2026.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quarters ended March 31, 2026, and June 30, 2026, filed with the SEC on </w:t>
            </w:r>
            <w:hyperlink r:id="rId5">
              <w:r>
                <w:rPr>
                  <w:rStyle w:val="InternetLink"/>
                  <w:rFonts w:ascii="Times New Roman;Times;Serif" w:hAnsi="Times New Roman;Times;Serif"/>
                  <w:b w:val="false"/>
                  <w:i w:val="false"/>
                  <w:caps w:val="false"/>
                  <w:smallCaps w:val="false"/>
                  <w:sz w:val="20"/>
                </w:rPr>
                <w:t>April 29, 2026</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July 23, 2026</w:t>
              </w:r>
            </w:hyperlink>
            <w:r>
              <w:rPr>
                <w:rFonts w:ascii="Times New Roman;Times;Serif" w:hAnsi="Times New Roman;Times;Serif"/>
                <w:b w:val="false"/>
                <w:i w:val="false"/>
                <w:caps w:val="false"/>
                <w:smallCaps w:val="false"/>
                <w:sz w:val="20"/>
              </w:rPr>
              <w:t>, respectively;</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7">
              <w:r>
                <w:rPr>
                  <w:rStyle w:val="InternetLink"/>
                  <w:rFonts w:ascii="Times New Roman;Times;Serif" w:hAnsi="Times New Roman;Times;Serif"/>
                  <w:b w:val="false"/>
                  <w:i w:val="false"/>
                  <w:caps w:val="false"/>
                  <w:smallCaps w:val="false"/>
                  <w:sz w:val="20"/>
                </w:rPr>
                <w:t>January 8, 2026</w:t>
              </w:r>
            </w:hyperlink>
            <w:r>
              <w:rPr>
                <w:rFonts w:ascii="Times New Roman;Times;Serif" w:hAnsi="Times New Roman;Times;Serif"/>
                <w:b w:val="false"/>
                <w:i w:val="false"/>
                <w:caps w:val="false"/>
                <w:smallCaps w:val="false"/>
                <w:sz w:val="20"/>
              </w:rPr>
              <w:t xml:space="preserve"> (other than Item 7.01 and Exhibit 99.1), as amended on </w:t>
            </w:r>
            <w:hyperlink r:id="rId8">
              <w:r>
                <w:rPr>
                  <w:rStyle w:val="InternetLink"/>
                  <w:rFonts w:ascii="Times New Roman;Times;Serif" w:hAnsi="Times New Roman;Times;Serif"/>
                  <w:b w:val="false"/>
                  <w:i w:val="false"/>
                  <w:caps w:val="false"/>
                  <w:smallCaps w:val="false"/>
                  <w:sz w:val="20"/>
                </w:rPr>
                <w:t>April 22,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April 10,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June 4, 2026</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July 22, 2026</w:t>
              </w:r>
            </w:hyperlink>
            <w:r>
              <w:rPr>
                <w:rFonts w:ascii="Times New Roman;Times;Serif" w:hAnsi="Times New Roman;Times;Serif"/>
                <w:b w:val="false"/>
                <w:i w:val="false"/>
                <w:caps w:val="false"/>
                <w:smallCaps w:val="false"/>
                <w:sz w:val="20"/>
              </w:rPr>
              <w:t>.</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incorporated by reference in our registration statement on </w:t>
            </w:r>
            <w:hyperlink r:id="rId12">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 No. 001-40950), dated October 21, 2021, filed with the SEC on October 21, 2021, and any amendment or report filed with the SEC for the purpose of updating such description.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no circumstances will any information furnished under Items 2.02 or 7.01 of Current Report on Form 8-K and exhibits filed on such form that are related to such items be deemed incorporated herein by reference unless such Form 8-K expressly provides to the contrary.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any of the documents incorporated by reference in this prospectus by writing or telephoning us at the following address: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Vita Coco Company,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 Fifth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206-0763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to the filings will not be sent, however, unless those exhibits have specifically been incorporated by reference in this prospectus or any accompanying prospectus supplement.</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6" w:name="Rma_001"/>
      <w:bookmarkEnd w:id="6"/>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The following summary highlights information contained elsewhere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the exhibits to the registration statement of which this prospectus is a part.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When we refer to “Vita Coco,” “we,” “our,” “us” and the “Company” in this prospectus, we mean The Vita Coco Company, Inc., unless otherwise specified.</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Company 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Vita Coco Company pioneered packaged coconut water in 2004 and we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branded portfolio is led by our </w:t>
      </w:r>
      <w:r>
        <w:rPr>
          <w:rFonts w:ascii="Times New Roman;Times;Serif" w:hAnsi="Times New Roman;Times;Serif"/>
          <w:b w:val="false"/>
          <w:i/>
          <w:caps w:val="false"/>
          <w:smallCaps w:val="false"/>
          <w:sz w:val="20"/>
          <w:bdr w:val="single" w:sz="8" w:space="1" w:color="000000"/>
        </w:rPr>
        <w:t>Vita Coco</w:t>
      </w:r>
      <w:r>
        <w:rPr>
          <w:rFonts w:ascii="Times New Roman;Times;Serif" w:hAnsi="Times New Roman;Times;Serif"/>
          <w:b w:val="false"/>
          <w:i w:val="false"/>
          <w:caps w:val="false"/>
          <w:smallCaps w:val="false"/>
          <w:sz w:val="20"/>
          <w:bdr w:val="single" w:sz="8" w:space="1" w:color="000000"/>
        </w:rPr>
        <w:t xml:space="preserve"> brand, which is the leader in the coconut water category in the United States, and also includes coconut oil, juice, and milk offerings. Our portfolio also includes </w:t>
      </w:r>
      <w:r>
        <w:rPr>
          <w:rFonts w:ascii="Times New Roman;Times;Serif" w:hAnsi="Times New Roman;Times;Serif"/>
          <w:b w:val="false"/>
          <w:i/>
          <w:caps w:val="false"/>
          <w:smallCaps w:val="false"/>
          <w:sz w:val="20"/>
          <w:bdr w:val="single" w:sz="8" w:space="1" w:color="000000"/>
        </w:rPr>
        <w:t>PWR LIFT</w:t>
      </w:r>
      <w:r>
        <w:rPr>
          <w:rFonts w:ascii="Times New Roman;Times;Serif" w:hAnsi="Times New Roman;Times;Serif"/>
          <w:b w:val="false"/>
          <w:i w:val="false"/>
          <w:caps w:val="false"/>
          <w:smallCaps w:val="false"/>
          <w:sz w:val="20"/>
          <w:bdr w:val="single" w:sz="8" w:space="1" w:color="000000"/>
        </w:rPr>
        <w:t>, a protein-infused fitness drink. Additionally, we supply Private Label products to key retailers in both the coconut water and coconut oil categories.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source our Vita Coco coconut water products from a diversified global network of approximately 20 factories and co-packers, supported by coconut farmers across the world. As we do not own any of these facilities, our supply chain is an asset-light model designed to better react to changes in the market or consumer preferences. As a result of the acquisition of Copra in July 2026, we acquired a production facility in Thailand used to manufacture Copra’s products.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Vita Coco</w:t>
      </w:r>
      <w:r>
        <w:rPr>
          <w:rFonts w:ascii="Times New Roman;Times;Serif" w:hAnsi="Times New Roman;Times;Serif"/>
          <w:b w:val="false"/>
          <w:i w:val="false"/>
          <w:caps w:val="false"/>
          <w:smallCaps w:val="false"/>
          <w:sz w:val="20"/>
          <w:bdr w:val="single" w:sz="8" w:space="1" w:color="000000"/>
        </w:rPr>
        <w:t xml:space="preserve"> is available in over 35 countries, with our primary markets located in North America, the United Kingdom , and Germany. Our primary markets for Private Label are North America and Europe. Our products are distributed primarily through club, food, drug, mass, convenience, e-commerce and food service channels. Our products are also available in a variety of on-premise locations such as corporate offices, fitness clubs, airports, and educational institutions.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Recent Acquisition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July 22, 2026 (the “Closing Date”), The Vita Coco Company, Inc., a Delaware public benefit corporation (the “Company” or “Vita Coco”), entered into an Agreement and Plan of Merger (the “Merger Agreement”) with Copra Inc., a Delaware corporation (“Copra”), Pinkco Inc., a Delaware corporation and wholly-owned subsidiary of the Company (“Merger Sub”), and Shareholder Representatives Services LLC, a Colorado limited liability company, pursuant to which Merger Sub merged with and into Copra, with Copra surviving the Merger as a directly wholly-owned subsidiary of the Company (the “Merger”). The Merger was completed on July 22, 2026, pursuant to the terms of the Merger Agreement. The Merger was unanimously approved and adopted by the Board of Directors of each of Vita Coco and Copra and unanimously approved by the stockholders of Copra. Capitalized terms used but not defined in this section of the prospectus shall have the meanings ascribed to such terms in the Merger Agreement.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the effective time of the Merger (the “Effective Time”), each share of Copra capital stock (meaning Copra common stock, $0.01 par value per share (“Copra Common Stock”), and Copra Preferred Stock (collectively, the Series Seed Preferred Stock, $0.01 par value per share, of Copra and the Series Seed-2 Preferred Stock, $0.01 par value per share, of Copra (collectively, “Copra Preferred Stock”)) outstanding immediately prior to the Effective Time, other than (i) shares held in Copra’s treasury, (ii) shares held by Vita Coco, Merger Sub, or any wholly-owned subsidiary of Vita Coco, and (iii) shares held by a holder who properly exercised dissenters’ rights under the Delaware General Corporation Law was cancelled and converted into the right to receive (without interest and subject to any applicable Tax withholding) the applicable Closing Per Share Consideration. Holders of Copra Preferred Stock received their applicable Closing Per Share Consideration entirely in cash ($110.14 per share) and will not be entitled to receive any Closing Stock Consideration or Earnout Stock Consideration. Holders of Copra Common Stock who are Eligible Recipients will receive their applicable Closing Per Share Consideration in cash and Closing Stock Consideration ($76.04 per share and 0.4346 shares of Vita Coco Common Stock), and will also be entitled to receive the applicable Earnout Per Share Consideration (including in Earnout Stock Consideration).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Earnout Per Share Consideration will be based on the Gross Profit achieved by Copra during the Calculation Period. The Calculation Period is the period from January 1, 2028 to December 31, 2028, or, if accelerated as a result of a Change of Control of Vita Coco prior to the end of fiscal year 2028, then the period from January 1, 2027 to December 31, 2027. Holders of Copra Preferred Stock will receive their Earnout Per Share Consideration entirely in cash. Holders of Copra Common Stock who are Eligible Recipients are entitled to receive Earnout Stock Consideration as part of their Earnout Per Share Consideration. The aggregate Earnout Payment Amount payable will in no event (a) be less than $45,000,000 or (b) exceed $100,000,000, and, in each case, the Earnout Payment Amount shall be payable in cash, Vita Coco Common Stock, or any combination thereof, in each instance, as determined by Vita Coco in its sole discretion.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Immediately prior to the Effective Time, each Copra Option, whether vested or unvested, automatically accelerated (to the extent unvested) and was cancelled and converted into the right to receive, without interest and subject to applicable Tax withholding, an amount of cash equal to (A) the number of shares of Copra Common Stock underlying such option multiplied by the Closing Per Share Consideration, minus (B) the aggregate exercise price of such option, pursuant to an Option Termination Agreement executed by the applicable Copra Optionholder. Certain former Copra Optionholders may also participate in an Earnout Bonus Pool, subject to continued employment with Copra or its Affiliates.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aggregate merger consideration consisted of (i) closing consideration of $175 million, comprised of (a) 467,071 shares of Vita Coco Common Stock (the “Closing Stock Consideration”) and (b) $140,000,210.59 in cash, and (ii) the right to receive the Earnout Per Share Consideration (in each case, subject to customary adjustments).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terms of the Merger Agreement, we entered into the Registration Rights Agreement with the Selling Stockholders (the “Registration Rights Agreement”), pursuant to which we agreed to file a registration statement on Form S-3 to register for sale the shares issued in respect of the Closing Stock Consideration (the “Closing Common Stock”) no later than four business days from the date of issuance of the Closing Common Stock. This prospectus is part of that registration statement.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Registration Rights Agreement, we also agreed to file a registration statement to register for sale the shares issued in respect of the Earnout Stock Consideration, if any, within thirty days of the final determination of the Earnout Stock Consideration (an “Earnout Registration Statement”), and use reasonable best efforts to cause the Earnout Registration Statement to be declared effective as promptly as practicable.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description of the Merger Agreement is qualified in its entirety by reference to the Merger Agreement, which has been filed as an exhibit to our Current Report on Form 8-K filed on July 22, 2026. See “Where You Can Find More Information” and “Incorporation by Reference.” The representations, warranties and covenants made by us in the Merger Agreement were made solely for the benefit of the parties to such agreements, including, in some cases, for the purpose of allocating risk among the parties thereto, and should not be deemed to be a representation, warranty or covenant to you. Moreover, such representations, warranties or covenants were made as of an earlier date. Accordingly, such representations, warranties and covenants should not be relied on as accurately representing the current state of our affairs.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Additional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additional information related to our business and operations, please refer to the reports incorporated herein by reference, including our Annual Report on Form 10-K for the year ended December 31, 2025, as described under “Incorporation by Reference.”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Vita Coco Company, Inc., formerly known as All Market Inc., was first incorporated as a Delaware corporation in January 2007 and re-incorporated in Delaware as a public benefit corporation in April 2021. We completed an initial public offering (the “IPO”) of our common stock in October 2021.</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principal executive offices are located 111 Fifth Avenue, Second Floor, New York, NY 10003 and our telephone number is (212) 206-0763. Our corporate website is www.thevitacococompany.com.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Rma_002"/>
      <w:bookmarkEnd w:id="7"/>
      <w:r>
        <w:rPr>
          <w:rFonts w:ascii="Times New Roman;Times;Serif" w:hAnsi="Times New Roman;Times;Serif"/>
          <w:b/>
          <w:i w:val="false"/>
          <w:caps w:val="false"/>
          <w:smallCaps w:val="false"/>
          <w:sz w:val="20"/>
        </w:rPr>
        <w:t xml:space="preserve">RISK FACTORS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Rma_003"/>
      <w:bookmarkEnd w:id="8"/>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receive all of the proceeds from any sales of our common stock offered by this prospectus. We will not receive any of the proceeds from the sale of our common stock shares offered hereby.</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Rma_004"/>
      <w:bookmarkEnd w:id="9"/>
      <w:r>
        <w:rPr>
          <w:rFonts w:ascii="Times New Roman;Times;Serif" w:hAnsi="Times New Roman;Times;Serif"/>
          <w:b/>
          <w:i w:val="false"/>
          <w:caps w:val="false"/>
          <w:smallCaps w:val="false"/>
          <w:sz w:val="20"/>
        </w:rPr>
        <w:t xml:space="preserve">DESCRIPTION OF CAPITAL STOCK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is not complete and may not contain all the information you should consider before investing in our capital stock. This description is summarized from, and qualified in its entirety by reference to our second amended and restated certificate of incorporation and our amended and restated bylaws, which has been publicly filed with the SEC. See “Where You Can Find More Information” and “Incorporation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w:t>
      </w:r>
    </w:p>
    <w:p>
      <w:pPr>
        <w:pStyle w:val="TextBody"/>
        <w:bidi w:val="0"/>
        <w:spacing w:before="0" w:after="0"/>
        <w:ind w:left="0" w:right="0" w:hanging="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135"/>
        <w:gridCol w:w="170"/>
        <w:gridCol w:w="5600"/>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500,000,000 shares of common stock, par value $0.01 per share, and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6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10,000,000 shares of preferred stock, par value of $0.01 per share.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Voting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on all matters submitted to a vote of stockholders. The holders of our common stock will vote together as a single class, unless otherwise required by law. The holders of our common stock do not have cumulative voting rights in the 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Dividend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common stock are entitled to receive dividends out of funds legally available if our board of directors, in its discretion, determines to issue dividends and then only at the times and in the amounts that our board of directors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 Preemptive or Similar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rights and is not subject to redemption or sinking fund provisions. The rights, preferences and privileges of the holders of our common stock will be subject to and may be adversely affected by the rights of the holders of shares of any series of our preferred stock that we may designate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Right to Receive Liquidation Distributions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liquidation, dissolution, or winding up, the assets legally available for distribution to our stockholders would be distributable ratably among the holders of our common stock and any participating preferred stock outstanding at that time, subject to the prior satisfaction of all outstanding debt and liabilities and the preferential rights of and the payment of liquidation preferences, if any, on any shares of preferred stock outstanding at that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Fully Paid and Nonassessable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outstanding shares of common stock are fully paid and nonassessable.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our second amended and restated certificate of incorporation, 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registration rights agreement with certain of our stockholders in connection with our initial public offering (the “IPO Registration Rights Agreement”) pursuant to which such parties have certain demand rights, short-form registration rights and piggyback registration rights from us, subject to customary restrictions and exceptions. All fees, costs and expenses of registrations, other than underwriting discounts and commissions, are expected to be borne by us. The IPO Registration Rights Agreement does not provide for any maximum cash penalties or any penalties connected with delays in registering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a Registration Rights Agreement with the Selling Stockholders in connection with the Copra acquisition. See the section titled “Recent Acquisition” in this prospectus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Provisions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Delaware law, our second amended and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Public Benefit Corporation Status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benefit corporation under Section 362 of the Delaware General Corporation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second amended and restated certificate of incorporation. Under the Delaware General Corporation Law, our stockholders may bring a derivative suit to enforce this requirement only if they own (individually or collectively), at least 2% of our outstanding shares or, upon our listing, the lesser of such percentage or shares of at least $2 million in market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public benefit corporation status will make it more difficult for another party to obtain control of us without maintaining our public benefit corporation status and purpose.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203 of the DGCL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contains a provision opting out of Section 203 of the DGCL. However, our second amended and restated certificate of incorporation contains provisions that are similar to Section 203. Specifically, our second amended and restated certificate of incorporation provides that, subject to certain exceptions, we will not be able to engage in a “business combination” with any “interested stockholder” for a period of three years following the date such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a corporation’s outstanding voting stock and any entity or person affiliated with or controlling or controlled by such entity or person.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our second amended and restated certificate of incorporation, neither Verlinvest Beverages SA, a pre-IPO significant stockholder, nor any of its affiliates are deemed to be interested stockholders regardless of the percentage of our outstanding voting stock owned by them, and accordingly are not subject to such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Second Amended and Restated Certificate of Incorporation and Amended and Restated Bylaw Provisions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and our amended and restated bylaws include a number of provisions that could deter hostile takeovers or delay or prevent changes in control of our management team, including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Board of Directors Vacancies. Pursuant to the terms of the Investor Rights Agreement, Mr. Kirban and Mr. Liran have the power to fill any vacancy caused by the removal or departure of one of their board nominees. In all other cases, our second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Classified Board. Our second amended and restated certificate of incorporation and amended and restated bylaws provide that our board of directors is classified into three classes of directors.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Removal of Directors. Pursuant to the terms of the Investor Rights Agreement, each of Michael Kirban and Ira Liran shall have the sole right to request that one or more of their respective designated directors, as applicable, tender their resignations as directors of our board of directors, in each case, with or without cause and at any time. Our second amended and restated certificate of incorporation provides that, in all other cases and at any other time, directors may only be removed for cause by the affirmative vote of at least two-thirds of the voting power of our common stock.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Supermajority Requirements for Amendments of Our Second Amended and Restated Certificate of Incorporation and Amended and Restated Bylaws. Our second amended and restated certificate of incorporation further provides that the affirmative vote of holders of at least two-thirds of the voting power of all of the then outstanding shares of voting stock is required to amend certain provisions of our second amended and restated certificate of incorporation, including provisions relating to the classified board, the size of the board, removal of directors, special meetings, actions by written consent, and designation of our preferred stock. The affirmative vote of holders of at least 66 2/3% of the voting power of all of the then outstanding shares of voting stock is required to amend or repeal our amended and restated bylaws, although our amended and restated bylaws may be amended by a simple majority vote of our board of directors.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 Action; Special Meeting of Stockholders. Our second amended and restated certificate of incorporation provides that special meetings of our stockholders may be called only by a majority of our board of directors, the chairman of our board of directors, or our chief executive officer. Our second amended and restated certificate of incorporation provides that our stockholders may not take action by written consent, but may only take action at annual or special meetings of our stockholders. </w:t>
            </w:r>
          </w:p>
        </w:tc>
      </w:tr>
    </w:tbl>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holders of our capital stock would not be able to amend our amended and restated bylaws or remove directors without holding a meeting of our stockholders called in accordance with our restated bylaws. Further, our amended and restated bylaws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Stockholder Proposals and Director Nominations. 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Cumulative Voting. The DGCL provides that stockholders are not entitled to the right to cumulate votes in the election of directors unless a corporation’s certificate of incorporation provides otherwise. Our second amended and restated certificate of incorporation and amended and restated bylaws do not provide for cumulative voting.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Issuance of Undesignated Preferred Stock. Our board of directors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it more difficult or to discourage an attempt to obtain control of us by means of a merger, tender offer, proxy contest, or other means.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Choice of Forum. Our second amended and restated certificate of incorporation provides that, unless we consent in writing to the selection of an alternative forum, (A)(i) any derivative action or proceeding brought on behalf of us, (ii) any action asserting a claim of breach of a fiduciary duty owed by any of our current or former directors, officers, other employees or stockholders to us or our stockholders, (iii) any action asserting a claim arising pursuant to any provision of the DGCL, our second amended and restated certificate of incorporation or amended and restated bylaws (as either may be amended or restated) or as to which the DGCL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Our second amended and restated certificate of incorporation also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Limitations on Liability and Indemnification Matters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provides that we will indemnify each of our directors to the fullest extent permitted by the DGCL. We have entered into indemnification agreements with each of our directors and executive officers that may, in some cases, be broader than the specific indemnification provisions contained under Delaware law. Further, pursuant to our indemnification agreements and directors’ and officers’ liability insurance, our directors and executive officers are indemnified and insured against the cost of defense, settlement or payment of a judgment under certain circumstances. In addition, as permitted by Delaware law, our second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 held not to be enforceable for violations of the federal securities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Transfer Agent and Registrar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Stock Market and trades under the symbol “COCO.”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 Policy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future earnings, if any, for the operation and expansion of our business, and any authorized share repurchases and do not anticipate declaring or paying any dividends in the foreseeable future. Any future determination related to our dividend policy will be made at the discretion of our Board after considering our financial condition, results of operations, capital requirements, contractual requirements, business prospects and other factors the Board deems relevant. In addition, the terms of our current credit facilities contain restrictions on our ability to declare and pay dividends under certain limited circumstances.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ma_005"/>
      <w:bookmarkEnd w:id="10"/>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sale or other disposition of up to 467,071 shares of our common stock by the Selling Stockholders named below. The term “Selling Stockholders” includes their respective donees, pledgees, transferees, assignees, successors-in-interest and others who later come to hold any of the Selling Stockholders’ interests in shares of our common stock other than through a public sale. These shares consist of the Merger Shares. See “Prospectus Summary—Recent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Company entered into the Registration Rights Agreement with Benjamin Minges, Nualsri Holdings Limited, Anne Rasmussen, The Benjamin Thomas Minges 2026 Irrevocable Family Trust, and The Benjamin Thomas Minges 2026 Irrevocable Trust for the Benefit of Rae Margaret Minges (collectively, the “Selling Stockholders”), pursuant to which each of the Selling Stockholders is entitled to certain rights to require the registration of the sale of certain or all of the shares of our common stock that they beneficially own. The Selling Stockholders became stockholders of the Company upon the closing of the Merger Agreement. As of the date of this prospectus, the Selling Stockholders beneficially own the following shares of our common stock:</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Minges: 210,335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Nualsri Holdings Limited: 195,560 shares of common stock.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Rasmussen: 32,495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Benjamin Thomas Minges 2026 Irrevocable Family Trust: 19,121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Benjamin Thomas Minges 2026 Irrevocable Trust for the Benefit of Rae Margaret Minges: 9,560 shares of common stock.</w:t>
            </w:r>
          </w:p>
        </w:tc>
      </w:tr>
    </w:tbl>
    <w:p>
      <w:pPr>
        <w:pStyle w:val="TextBody"/>
        <w:bidi w:val="0"/>
        <w:spacing w:before="0" w:after="0"/>
        <w:ind w:left="121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have the following relationships with the Company: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Benjamin Minges was the Chief Executive Officer of Copra, and following the Merger, is employed by Copra, a subsidiary of the Company, as Vice President, Cold Chain Private Brands. Mr. Minges is also the beneficiary of the Benjamin Thomas Minges 2026 Irrevocable Family Trust and the Benjamin Thomas Minges 2026 Irrevocable Trust for the Benefit of Rae Margaret Minges;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Nualsri Holdings Limited, a BVI business company, is wholly owned by Chayakorn Ponsuwan, who was employed by CB Coconuts Co., Ltd., a subsidiary of Copra, and, following the Merger, is employed as the Vice President of CB Coconuts Co., Ltd, a subsidiary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Rasmussen is an employee of Copra, a subsidiary of the Company.</w:t>
            </w:r>
          </w:p>
        </w:tc>
      </w:tr>
    </w:tbl>
    <w:p>
      <w:pPr>
        <w:pStyle w:val="TextBody"/>
        <w:bidi w:val="0"/>
        <w:spacing w:before="0" w:after="0"/>
        <w:ind w:left="121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as of the date of this prospectus, the name of each Selling Stockholder for whom we are registering shares for sale to the public, the total number of shares of our common stock beneficially owned by the Selling Stockholder prior to this offering, the total number of shares of our common stock that the Selling Stockholder may offer pursuant to this prospectus and the number of shares of our common stock that the Selling Stockholder will beneficially own after this offering, as well as the percentages of beneficial ownership of our common stock held by the Selling Stockholder prior to and after this offering. The information set forth below is based on information provided by or on behalf of the Selling Stockholders prior to the date hereof, and information concerning the Selling Stockholders may change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all Selling Stockholders is c/o The Vita Coco Company, 111 Fifth Avenue, Second Floor New York, NY 10003. The amounts and percentages of common stock beneficially owned are reported on the basis of regulations of the SEC governing the determination of beneficial ownership of securities. Under the rules of the SEC, a person is deemed a “beneficial owner” of a security if that person has or shares voting power, which includes the power to vote or direct the voting of such security, or investment power, which includes the power to dispose of or direct the disposition of such security. Under these rules, more than one person may be deemed a beneficial owner of the same securities, and a person may be deemed to be a beneficial owner of securities as to which such person has no economic interest. Percentages in the table below are based on 58,694,198 shares of common stock outstanding as of July 21,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information provided to us by the Selling Stockholders, assuming that the Selling Stockholders sell all of the shares of our common stock beneficially owned by them that have been registered by us and do not acquire any additional shares during the offering, the Selling Stockholders will not own any shares, as reflected in the column entitled “Beneficial Ownership After this Offering.” We cannot advise you as to whether the Selling Stockholders will in fact sell any or all of such shares of our common stock. In addition, the Selling Stockholders may have sold, transferred or otherwise disposed of, or may sell, transfer or otherwise dispose of, at any time, the shares of our common stock in transactions exempt from the registration requirements of the Securities Act after the date on which they provided the information set forth in the table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36"/>
        <w:gridCol w:w="60"/>
        <w:gridCol w:w="71"/>
        <w:gridCol w:w="908"/>
        <w:gridCol w:w="67"/>
        <w:gridCol w:w="67"/>
        <w:gridCol w:w="84"/>
        <w:gridCol w:w="176"/>
        <w:gridCol w:w="67"/>
        <w:gridCol w:w="67"/>
        <w:gridCol w:w="91"/>
        <w:gridCol w:w="1208"/>
        <w:gridCol w:w="67"/>
        <w:gridCol w:w="67"/>
        <w:gridCol w:w="172"/>
        <w:gridCol w:w="703"/>
        <w:gridCol w:w="69"/>
        <w:gridCol w:w="69"/>
        <w:gridCol w:w="69"/>
        <w:gridCol w:w="305"/>
        <w:gridCol w:w="82"/>
      </w:tblGrid>
      <w:tr>
        <w:trPr/>
        <w:tc>
          <w:tcPr>
            <w:tcW w:w="57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7"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Common Stock Beneficially Owned</w:t>
            </w:r>
          </w:p>
        </w:tc>
        <w:tc>
          <w:tcPr>
            <w:tcW w:w="82" w:type="dxa"/>
            <w:tcBorders/>
            <w:vAlign w:val="center"/>
          </w:tcPr>
          <w:p>
            <w:pPr>
              <w:pStyle w:val="TableContents"/>
              <w:bidi w:val="0"/>
              <w:spacing w:before="0" w:after="283"/>
              <w:jc w:val="left"/>
              <w:rPr/>
            </w:pPr>
            <w:r>
              <w:rPr/>
              <w:t> </w:t>
            </w:r>
          </w:p>
        </w:tc>
      </w:tr>
      <w:tr>
        <w:trPr/>
        <w:tc>
          <w:tcPr>
            <w:tcW w:w="5736" w:type="dxa"/>
            <w:tcBorders>
              <w:bottom w:val="single" w:sz="8" w:space="0" w:color="000000"/>
            </w:tcBorders>
            <w:tcMar>
              <w:bottom w:w="28" w:type="dxa"/>
            </w:tcMar>
            <w:vAlign w:val="center"/>
          </w:tcPr>
          <w:p>
            <w:pPr>
              <w:pStyle w:val="TableContents"/>
              <w:bidi w:val="0"/>
              <w:spacing w:before="0" w:after="283"/>
              <w:jc w:val="left"/>
              <w:rPr>
                <w:b/>
              </w:rPr>
            </w:pPr>
            <w:r>
              <w:rPr>
                <w:b/>
              </w:rPr>
              <w:t>Name of Beneficial Owner</w:t>
            </w:r>
          </w:p>
        </w:tc>
        <w:tc>
          <w:tcPr>
            <w:tcW w:w="60" w:type="dxa"/>
            <w:tcBorders/>
            <w:vAlign w:val="center"/>
          </w:tcPr>
          <w:p>
            <w:pPr>
              <w:pStyle w:val="TableContents"/>
              <w:bidi w:val="0"/>
              <w:spacing w:before="0" w:after="283"/>
              <w:jc w:val="left"/>
              <w:rPr/>
            </w:pPr>
            <w:r>
              <w:rPr/>
              <w:t> </w:t>
            </w:r>
          </w:p>
        </w:tc>
        <w:tc>
          <w:tcPr>
            <w:tcW w:w="1373"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to this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2"/>
                <w:sz w:val="16"/>
                <w:sz w:val="20"/>
              </w:rPr>
              <w:t>1</w:t>
            </w:r>
            <w:r>
              <w:rPr>
                <w:rFonts w:ascii="Times New Roman;Times;Serif" w:hAnsi="Times New Roman;Times;Serif"/>
                <w:b/>
                <w:i w:val="false"/>
                <w:caps w:val="false"/>
                <w:smallCaps w:val="false"/>
                <w:sz w:val="20"/>
              </w:rPr>
              <w:t>)</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may be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 pursuant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this prospectus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87"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this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2"/>
                <w:sz w:val="16"/>
                <w:sz w:val="20"/>
              </w:rPr>
              <w:t>(1)</w:t>
            </w:r>
          </w:p>
        </w:tc>
        <w:tc>
          <w:tcPr>
            <w:tcW w:w="82" w:type="dxa"/>
            <w:tcBorders/>
            <w:vAlign w:val="center"/>
          </w:tcPr>
          <w:p>
            <w:pPr>
              <w:pStyle w:val="TableContents"/>
              <w:bidi w:val="0"/>
              <w:spacing w:before="0" w:after="283"/>
              <w:jc w:val="left"/>
              <w:rPr/>
            </w:pPr>
            <w:r>
              <w:rPr/>
              <w:t> </w:t>
            </w:r>
          </w:p>
        </w:tc>
      </w:tr>
      <w:tr>
        <w:trPr/>
        <w:tc>
          <w:tcPr>
            <w:tcW w:w="57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2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99" w:type="dxa"/>
            <w:gridSpan w:val="2"/>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3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82" w:type="dxa"/>
            <w:tcBorders/>
            <w:vAlign w:val="center"/>
          </w:tcPr>
          <w:p>
            <w:pPr>
              <w:pStyle w:val="TableContents"/>
              <w:bidi w:val="0"/>
              <w:spacing w:before="0" w:after="283"/>
              <w:ind w:left="0" w:right="0" w:hanging="200"/>
              <w:jc w:val="left"/>
              <w:rPr/>
            </w:pPr>
            <w:r>
              <w:rPr/>
              <w:t> </w:t>
            </w:r>
          </w:p>
        </w:tc>
      </w:tr>
      <w:tr>
        <w:trPr/>
        <w:tc>
          <w:tcPr>
            <w:tcW w:w="57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Minges</w:t>
            </w:r>
            <w:r>
              <w:rPr>
                <w:rFonts w:ascii="Times New Roman;Times;Serif" w:hAnsi="Times New Roman;Times;Serif"/>
                <w:position w:val="-2"/>
                <w:sz w:val="16"/>
                <w:sz w:val="20"/>
              </w:rPr>
              <w:t>(2)</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210,335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210,335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ind w:left="0" w:right="0" w:hanging="200"/>
              <w:jc w:val="left"/>
              <w:rPr/>
            </w:pPr>
            <w:r>
              <w:rPr/>
              <w:t> </w:t>
            </w:r>
          </w:p>
        </w:tc>
      </w:tr>
      <w:tr>
        <w:trPr/>
        <w:tc>
          <w:tcPr>
            <w:tcW w:w="57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Nualsri Holdings Limited</w:t>
            </w:r>
            <w:r>
              <w:rPr>
                <w:rFonts w:ascii="Times New Roman;Times;Serif" w:hAnsi="Times New Roman;Times;Serif"/>
                <w:position w:val="-2"/>
                <w:sz w:val="16"/>
                <w:sz w:val="20"/>
              </w:rPr>
              <w:t>(3)</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195,560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195,560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ind w:left="0" w:right="0" w:hanging="200"/>
              <w:jc w:val="left"/>
              <w:rPr/>
            </w:pPr>
            <w:r>
              <w:rPr/>
              <w:t> </w:t>
            </w:r>
          </w:p>
        </w:tc>
      </w:tr>
      <w:tr>
        <w:trPr/>
        <w:tc>
          <w:tcPr>
            <w:tcW w:w="5736" w:type="dxa"/>
            <w:tcBorders/>
            <w:shd w:fill="CCEEFF" w:val="clear"/>
            <w:vAlign w:val="center"/>
          </w:tcPr>
          <w:p>
            <w:pPr>
              <w:pStyle w:val="TableContents"/>
              <w:bidi w:val="0"/>
              <w:spacing w:before="0" w:after="283"/>
              <w:jc w:val="left"/>
              <w:rPr/>
            </w:pPr>
            <w:r>
              <w:rPr/>
              <w:t>Anne Rasmussen</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32,495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32,495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57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Benjamin Thomas Minges 2026 Irrevocable Family Trust</w:t>
            </w:r>
            <w:r>
              <w:rPr>
                <w:rFonts w:ascii="Times New Roman;Times;Serif" w:hAnsi="Times New Roman;Times;Serif"/>
                <w:position w:val="-2"/>
                <w:sz w:val="16"/>
                <w:sz w:val="20"/>
              </w:rPr>
              <w:t>(4)</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19,121</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19,121</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57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Benjamin Thomas Minges 2026 Irrevocable Trust for the Benefit of Rae Margaret Minges</w:t>
            </w:r>
            <w:r>
              <w:rPr>
                <w:rFonts w:ascii="Times New Roman;Times;Serif" w:hAnsi="Times New Roman;Times;Serif"/>
                <w:position w:val="-2"/>
                <w:sz w:val="16"/>
                <w:sz w:val="20"/>
              </w:rPr>
              <w:t>(5)</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9,560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9,560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2020" w:type="dxa"/>
        <w:jc w:val="left"/>
        <w:tblInd w:w="0" w:type="dxa"/>
        <w:tblLayout w:type="fixed"/>
        <w:tblCellMar>
          <w:top w:w="0" w:type="dxa"/>
          <w:left w:w="0" w:type="dxa"/>
          <w:bottom w:w="0" w:type="dxa"/>
          <w:right w:w="0" w:type="dxa"/>
        </w:tblCellMar>
      </w:tblPr>
      <w:tblGrid>
        <w:gridCol w:w="140"/>
        <w:gridCol w:w="188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than one percent.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that all shares of common stock offered by the Selling Stockholders are sold.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Minges, who was the Chief Executive Officer of Copra, and following the Merger, is employed by Copra, a subsidiary of the Company, as Vice President, Cold Chain Private Brands.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Nualsri Holdings Limited is wholly owned by Chayakorn Phonsuwan, who, following the Merger, is employed as the Vice President of CB Coconuts Co., Ltd, a subsidiary of the Company. The address of Nualsri Holdings Limited is 3076 Sir Francis Drake’s Highway, P.O. Box 3463, Tortola, Road Town, 0000 British Virgin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Minges, who was the Chief Executive Officer of Copra, and following the Merger, is employed by Copra, a subsidiary of the Company, as Vice President, Cold Chain Private Brands, does not have a financial interest in The Benjamin Thomas Minges 2026 Irrevocable Family Trust. Mr. Minges’ father, Timothy Minges, is trustee of The Benjamin Thomas Minges 2026 Irrevocable Family Trust and controls the disposition of the shares held thereby.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Minges, who was the Chief Executive Officer of Copra, and following the Merger, is employed by Copra, a subsidiary of the Company, as Vice President, Cold Chain Private Brands, does not have a financial interest in The Benjamin Thomas Minges 2026 Irrevocable Trust for the Benefit of Rae Margaret Minges. Mr. Minges’ father, Timothy Minges, is trustee of The Benjamin Thomas Minges 2026 Irrevocable Trust for the Benefit of Rae Margaret Minges and controls the disposition of the shares held thereby.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ma_006"/>
      <w:bookmarkEnd w:id="11"/>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common stock held by the Selling Stockholders from time to time after the date of this prospectus. We will not receive any of the proceeds from the sale by the Selling Stockholders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the principal trading market for our common stock or any other stock exchange, market or trading facility on which our common stock are traded or in private transactions. These sales may be at fixed or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the common stock under Rule 144 or any other exemption from registration under the Securities Act, if available, rather than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Stockholder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our affiliate (or to the extent otherwise required by law), we may, at our option, file a prospectus supplement in order to permit the distributees to use the prospectus to resell the securities acquired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brokers-dealers to participate in sales. Broker-dealers may receive commissions or discounts from the Selling Stockholders (or, if any broker-dealer acts as agent for the purchaser of our common stock, from the purchaser) in amounts to be negotiated, but, except as set forth in a supplement to this prospectus, in the case of an agency transaction not in excess of a customary brokerage commission in compliance with Financial Industry Regulatory Authority, (“FINRA”), Rule 5110; and in the case of a principal transaction a markup or markdown in compliance with FINRA Rule 2121.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 In connection with the sale of our common stock or interests therein, the Selling Stockholders may enter into hedging transactions with broker-dealers or other financial institutions, which may in turn engage in short sales of our common stock in the course of hedging the positions they assume. The Selling Stockholders may also sell our common stock short and deliver these shares to close out their short positions, or loan or pledge the securities to broker-dealers that in turn may sell these shares.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shares of our common stock purchased by them may be deemed to be underwriting commissions or discounts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our common stock. We and the Selling Stockholders have agreed to indemnify each other against certain losses, claims, damages and liabilities, including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shares of our common stock may not simultaneously engage in market making activities with respect to our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our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ma_007"/>
      <w:bookmarkEnd w:id="12"/>
      <w:r>
        <w:rPr>
          <w:rFonts w:ascii="Times New Roman;Times;Serif" w:hAnsi="Times New Roman;Times;Serif"/>
          <w:b/>
          <w:i w:val="false"/>
          <w:caps w:val="false"/>
          <w:smallCaps w:val="false"/>
          <w:sz w:val="20"/>
        </w:rPr>
        <w:t xml:space="preserve">LEGAL MATTERS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being offered hereby will be passed upon for us by Ballard Spahr LLP, Philadelphia, Pennsylvania.</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ma_008"/>
      <w:bookmarkEnd w:id="13"/>
      <w:r>
        <w:rPr>
          <w:rFonts w:ascii="Times New Roman;Times;Serif" w:hAnsi="Times New Roman;Times;Serif"/>
          <w:b/>
          <w:i w:val="false"/>
          <w:caps w:val="false"/>
          <w:smallCaps w:val="false"/>
          <w:sz w:val="20"/>
        </w:rPr>
        <w:t xml:space="preserve">EXPERTS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Vita Coco Company, Inc. incorporated by reference in this prospectus, and the effectiveness of The Vita Coco Company,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NOT REQUIRED IN 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w:t>
      </w:r>
      <w:r>
        <w:rPr>
          <w:rFonts w:ascii="Times New Roman;Times;Serif" w:hAnsi="Times New Roman;Times;Serif"/>
          <w:b/>
          <w:i/>
          <w:caps w:val="false"/>
          <w:smallCaps w:val="false"/>
          <w:sz w:val="20"/>
        </w:rPr>
        <w:t>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an estimate of the fees and expenses payable by us in connection with the issuance and distribution of the shares of common stock being registered by this registration statement. None of the expenses listed below are to be borne by any of the Selling Stockholders named in the prospectus that forms a part of this registration statement. All the amounts shown are estimates, except for the SEC registration fee.</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2900"/>
        <w:gridCol w:w="60"/>
        <w:gridCol w:w="140"/>
        <w:gridCol w:w="740"/>
        <w:gridCol w:w="75"/>
      </w:tblGrid>
      <w:tr>
        <w:trPr/>
        <w:tc>
          <w:tcPr>
            <w:tcW w:w="2900" w:type="dxa"/>
            <w:tcBorders/>
            <w:shd w:fill="CCEEFF" w:val="clear"/>
            <w:vAlign w:val="center"/>
          </w:tcPr>
          <w:p>
            <w:pPr>
              <w:pStyle w:val="TableContents"/>
              <w:bidi w:val="0"/>
              <w:spacing w:before="0" w:after="283"/>
              <w:jc w:val="both"/>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xml:space="preserve">4,729 </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both"/>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jc w:val="right"/>
              <w:rPr/>
            </w:pPr>
            <w:r>
              <w:rPr/>
              <w:t>35,000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both"/>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30,000</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69,729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w:t>
      </w:r>
      <w:r>
        <w:rPr>
          <w:rFonts w:ascii="Times New Roman;Times;Serif" w:hAnsi="Times New Roman;Times;Serif"/>
          <w:b/>
          <w:i/>
          <w:caps w:val="false"/>
          <w:smallCaps w:val="false"/>
          <w:sz w:val="20"/>
        </w:rPr>
        <w:t xml:space="preserve">Indemnification of Directors and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provides that a corporation’s certificate of incorporation may contain a provision eliminating or limiting the personal liability of a director or officer to the corporation or its stockholders for monetary damages for breach of fiduciary duty as a director, provided that such provision shall not eliminate or limit the liability of a director or officer (i) for any breach of the director’s duty of loyalty to the corporation or its stockholders, (ii) for acts or omissions not in good faith or which involve intentional misconduct or a knowing violation of law, (iii) for a director under Section 174 of the DGCL, (iv) for any transaction from which the director derived an improper personal benefit, or (v) an officer in any action by or in the right of the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provides indemnification for our directors to the fullest extent permitted by the DGCL, while our amended and restated bylaws provides indemnification for our directors and officers to the fullest extent permitted by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separate indemnification agreements with each of our directors and officers. Each indemnification agreement provides, among other things, for indemnification to the fullest extent permitted by law and our second amended and restated certificate of incorporation against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general liability insurance policy that covers certain liabilities of directors and officers of our corporation arising out of claims based on acts or omissions in their capacities as directors or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Agreement and Plan of Merger, by and between The Vita Coco Company, Inc., Copra Inc., Pinkco Inc. and Shareholder Representative Services LLC, dated July 22, 2026 (incorporated by reference to the Company’s Current Report on Form 8-K, filed July 22, 2026)</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 xml:space="preserve">Second Amended and Restated Certificate of Incorporation of The Vita Coco Company, Inc. (incorporated by reference to the Company’s Current Report on Form 8-K, filed October 25, 2021) </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 xml:space="preserve">Amended and Restated Bylaws of The Vita Coco Company, Inc. (incorporated by reference to the Company’s Current Report on Form 8-K, filed October 25, 2021) </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Registration Rights Agreement, by and among The Vita Coco Company, Inc. and certain shareholders of The Vita Coco Company, Inc., dated as of July 22, 2026 (incorporated by reference to the Company’s Current Report on Form 8-K, filed July 22, 2026)</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Registration Rights Agreement, by and among The Vita Coco Company, Inc. and certain security holders of The Vita Coco Company, Inc., dated as of October 20, 2021 (incorporated by reference to the Company’s Current Report on Form 8-K, filed October 25, 2021).</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 xml:space="preserve">Specimen Common Stock Certificate of The Vita Coco Company, Inc. (incorporated by reference to the Company’s Registration Statement on Form S-1, filed September 27, 2021). </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 xml:space="preserve">Opinion of Ballard Spahr, LLP. </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 xml:space="preserve">Consent of Ballard Spahr, LLP (included in Exhibit 5.1). </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rPr>
                <w:t xml:space="preserve">Consent of Deloitte &amp; Touche LLP, independent registered public accounting firm. </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 xml:space="preserve">Powers of Attorney (incorporated by reference to the signature page hereto). </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 xml:space="preserve">Filing Fee Table </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portions of this exhibit have been redacted pursuant to Regulation S-K, Item 601(a)(5).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17. </w:t>
      </w:r>
      <w:r>
        <w:rPr>
          <w:rFonts w:ascii="Times New Roman;Times;Serif" w:hAnsi="Times New Roman;Times;Serif"/>
          <w:b/>
          <w:i/>
          <w:caps w:val="false"/>
          <w:smallCaps w:val="false"/>
          <w:sz w:val="20"/>
        </w:rPr>
        <w:t>Undertakings</w:t>
      </w:r>
    </w:p>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5"/>
        <w:gridCol w:w="384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registrant hereby undertakes: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file, during any period in which offers or sales are being made, a post-effective amendment to this registration statement: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include any prospectus required by Section 10(a)(3) of the Securities Act of 1933;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ind w:left="1080" w:right="0" w:hanging="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remove from registration by means of a post-effective amendment any of the securities being registered which remain unsold at the termination of the offering.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of 1933 to any purchaser: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6"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Each prospectus filed by the registrant pursuant to Rule 424(b)(3) shall be deemed to be part of the registration statement as of the date the filed prospectus was deemed part of and included in the registration statement;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preliminary prospectus or prospectus of the undersigned registrant relating to the offering required to be filed pursuant to Rule 424;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communications that is an offer in the offering made by the undersigned registrant to the purchaser. </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p>
        </w:tc>
      </w:tr>
      <w:tr>
        <w:trPr/>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ind w:left="360" w:right="0" w:hanging="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July 23, 2026.</w:t>
      </w:r>
    </w:p>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75"/>
        <w:gridCol w:w="437"/>
        <w:gridCol w:w="267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VITA COCO COMPANY,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 w:type="dxa"/>
            <w:tcBorders/>
            <w:vAlign w:val="center"/>
          </w:tcPr>
          <w:p>
            <w:pPr>
              <w:pStyle w:val="TableContents"/>
              <w:bidi w:val="0"/>
              <w:spacing w:before="0" w:after="283"/>
              <w:jc w:val="left"/>
              <w:rPr>
                <w:caps w:val="false"/>
                <w:smallCaps w:val="false"/>
              </w:rPr>
            </w:pPr>
            <w:r>
              <w:rPr>
                <w:caps w:val="false"/>
                <w:smallCaps w:val="false"/>
              </w:rPr>
              <w:t> </w:t>
            </w:r>
          </w:p>
        </w:tc>
        <w:tc>
          <w:tcPr>
            <w:tcW w:w="26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Martin Roper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 w:type="dxa"/>
            <w:tcBorders/>
            <w:vAlign w:val="center"/>
          </w:tcPr>
          <w:p>
            <w:pPr>
              <w:pStyle w:val="TableContents"/>
              <w:bidi w:val="0"/>
              <w:spacing w:before="0" w:after="283"/>
              <w:jc w:val="left"/>
              <w:rPr>
                <w:caps w:val="false"/>
                <w:smallCaps w:val="false"/>
              </w:rPr>
            </w:pPr>
            <w:r>
              <w:rPr>
                <w:caps w:val="false"/>
                <w:smallCaps w:val="false"/>
              </w:rPr>
              <w:t> </w:t>
            </w:r>
          </w:p>
        </w:tc>
        <w:tc>
          <w:tcPr>
            <w:tcW w:w="2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Roper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 w:type="dxa"/>
            <w:tcBorders/>
            <w:vAlign w:val="center"/>
          </w:tcPr>
          <w:p>
            <w:pPr>
              <w:pStyle w:val="TableContents"/>
              <w:bidi w:val="0"/>
              <w:spacing w:before="0" w:after="283"/>
              <w:jc w:val="left"/>
              <w:rPr>
                <w:caps w:val="false"/>
                <w:smallCaps w:val="false"/>
              </w:rPr>
            </w:pPr>
            <w:r>
              <w:rPr>
                <w:caps w:val="false"/>
                <w:smallCaps w:val="false"/>
              </w:rPr>
              <w:t> </w:t>
            </w:r>
          </w:p>
        </w:tc>
        <w:tc>
          <w:tcPr>
            <w:tcW w:w="2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poa_001"/>
      <w:bookmarkEnd w:id="14"/>
      <w:r>
        <w:rPr>
          <w:rFonts w:ascii="Times New Roman;Times;Serif" w:hAnsi="Times New Roman;Times;Serif"/>
          <w:b/>
          <w:i w:val="false"/>
          <w:caps w:val="false"/>
          <w:smallCaps w:val="false"/>
          <w:sz w:val="20"/>
        </w:rPr>
        <w:t xml:space="preserve">POWER OF ATTORNEY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officers and directors of the registrant hereby severally constitutes and appoints Martin Roper and Corey Baker,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on behalf of the registrant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2030"/>
        <w:gridCol w:w="60"/>
        <w:gridCol w:w="5540"/>
        <w:gridCol w:w="60"/>
        <w:gridCol w:w="1145"/>
      </w:tblGrid>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Martin Roper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 (Principal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Roper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Corey Baker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Corey Baker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Kirban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Kirban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Aishetu Fatima Dozie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Aishetu Fatima Dozie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Shelley Broader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Shelley Broader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Ira Liran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 Liran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Melloul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Melloul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Jane Morreau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Jane Morreau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Kenneth Sadowsky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Kenneth Sadowsky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Zupo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Zupo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ex5-1.htm"/>
      <w:bookmarkStart w:id="16" w:name="ksex51"/>
      <w:bookmarkEnd w:id="15"/>
      <w:bookmarkEnd w:id="1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1924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2381250" cy="19240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Vita Coco Company, Inc.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Fifth Avenue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Floor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10003</w:t>
      </w:r>
    </w:p>
    <w:p>
      <w:pPr>
        <w:pStyle w:val="TextBody"/>
        <w:bidi w:val="0"/>
        <w:spacing w:before="0" w:after="0"/>
        <w:ind w:left="0" w:right="0" w:hanging="72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20"/>
        <w:gridCol w:w="2930"/>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Registration Statement on Form S-3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The Vita Coco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The Vita Coco Company, Inc. a Delaware public benefit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and filing of its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relating to the registration by the Company of the resale or distribution from time to time of up to 467,071 shares of common stock, par value $0.01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held by certain selling stockholders identified in the Registration Statement (the “</w:t>
      </w:r>
      <w:r>
        <w:rPr>
          <w:rFonts w:ascii="Times New Roman;Times;Serif" w:hAnsi="Times New Roman;Times;Serif"/>
          <w:b/>
          <w:i w:val="false"/>
          <w:caps w:val="false"/>
          <w:smallCaps w:val="false"/>
          <w:sz w:val="20"/>
        </w:rPr>
        <w:t>Selling Stockholders</w:t>
      </w:r>
      <w:r>
        <w:rPr>
          <w:rFonts w:ascii="Times New Roman;Times;Serif" w:hAnsi="Times New Roman;Times;Serif"/>
          <w:b w:val="false"/>
          <w:i w:val="false"/>
          <w:caps w:val="false"/>
          <w:smallCaps w:val="false"/>
          <w:sz w:val="20"/>
        </w:rPr>
        <w:t>”), which shares are currently outstanding. The shares of Common Stock may be issued and sold by the Selling Stockholders from time to time as set forth in the Registration Statement, any amendment thereto, and any supplements thereto filed pursuant to Rule 415 of the rules and regulations promulgated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in accordance with the requirements of Item 601(b)(5) of Regulation S-K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originals or copies, certified or otherwise identified to our satisfaction, of (i) the Registration Statement and all exhibits thereto, (ii) Second Amended and Restated Certificate of Incorporation of the Company, and (iii) the Amended and Restated Bylaws of the Company. We have also examined such corporate records and other agreements, documents and instruments, and such certificates or comparable documents of public officials and officers and representatives of the Company and have made such inquiries of such officers and representatives and have considered such matters of law as we have deemed appropriate as the basis for the opinions hereinafter set forth.</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delivering this opinion, we have assumed the genuineness of all signatures, the legal capacity of natural persons, the authenticity of all documents submitted to us as originals, the conformity to originals of all documents submitted to us as certified, photostatic or conformed copies, the authenticity of originals of all such latter documents, and the accuracy and completeness of all records, information and statements submitted to us by officers and representatives of the Company. In making our examination of documents executed by parties other than the Company, we have assumed that such parties had the power, corporate or other, to enter into and perform all obligations thereunder and have also assumed the due authorization of all requisite action, corporate or other, and execution and delivery by such parties of such documents.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letter, we have further assumed that, at the time of the issuance, sale and delivery of any shares of Common Stock under the Registration Statement: (a) the authorization thereof by the Company will not have been modified or rescinded; and (b) the Second Amended and Restated Certificate of Incorporation of the Company, as currently in effect, will not have been modified or amended and will be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subject to and limited by the foregoing exceptions, limitations and qualifications set forth herein, we are of the opinion that the shares of Common Stock are validly issued, fully paid and nonassessable.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law of any jurisdiction other than the federal securities laws of the United States and the laws of the State of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with the SEC and to reference to us under the caption “Legal Matters” in the Registration Statement. In giving such consent, we do not hereby admit that we are acting within the category of persons whose consent is required under Section 7 of the Securities Act or the rules or regulations of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Ballard Spahr LLP</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ex23-2.htm"/>
      <w:bookmarkStart w:id="18" w:name="ksex232"/>
      <w:bookmarkEnd w:id="17"/>
      <w:bookmarkEnd w:id="1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reports dated February 18, 2026, relating to the financial statements of The Vita Coco Company, Inc. and the effectiveness of The Vita Coco Company, Inc.’s internal control over financial reporting, appearing in the Annual Report on Form 10-K of The Vita Coco Company, Inc.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 w:name="ex107.htm"/>
      <w:bookmarkStart w:id="20" w:name="ksex107"/>
      <w:bookmarkStart w:id="21" w:name="ex107.htm"/>
      <w:bookmarkStart w:id="22" w:name="ksex107"/>
      <w:bookmarkEnd w:id="21"/>
      <w:bookmarkEnd w:id="22"/>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Vita Coco Company,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467,071 </w:t>
            </w:r>
          </w:p>
        </w:tc>
        <w:tc>
          <w:tcPr>
            <w:tcW w:w="1156" w:type="dxa"/>
            <w:tcBorders/>
            <w:shd w:fill="E7E7E2" w:val="clear"/>
            <w:vAlign w:val="center"/>
          </w:tcPr>
          <w:p>
            <w:pPr>
              <w:pStyle w:val="TableContents"/>
              <w:bidi w:val="0"/>
              <w:spacing w:before="0" w:after="283"/>
              <w:jc w:val="right"/>
              <w:rPr/>
            </w:pPr>
            <w:r>
              <w:rPr/>
              <w:t xml:space="preserve">$ 73.31 </w:t>
            </w:r>
          </w:p>
        </w:tc>
        <w:tc>
          <w:tcPr>
            <w:tcW w:w="1666" w:type="dxa"/>
            <w:tcBorders/>
            <w:shd w:fill="E7E7E2" w:val="clear"/>
            <w:vAlign w:val="center"/>
          </w:tcPr>
          <w:p>
            <w:pPr>
              <w:pStyle w:val="TableContents"/>
              <w:bidi w:val="0"/>
              <w:spacing w:before="0" w:after="283"/>
              <w:jc w:val="right"/>
              <w:rPr/>
            </w:pPr>
            <w:r>
              <w:rPr/>
              <w:t xml:space="preserve">$ 34,240,975.01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$ 4,728.68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3" w:name="MaxAggtOfferingPrice"/>
            <w:bookmarkEnd w:id="23"/>
            <w:r>
              <w:rPr/>
              <w:t xml:space="preserve">$ 34,240,975.01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4" w:name="TotalFeeAmt"/>
            <w:bookmarkEnd w:id="24"/>
            <w:r>
              <w:rPr/>
              <w:t xml:space="preserve">$ 4,728.68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5" w:name="TotalPreviouslyPaidAmt"/>
            <w:bookmarkEnd w:id="2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Offset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NetFeeAmt"/>
            <w:bookmarkEnd w:id="27"/>
            <w:r>
              <w:rPr/>
              <w:t xml:space="preserve">$ 4,728.68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8"/>
        <w:gridCol w:w="8706"/>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All of the shares of common stock of the Vita Coco Company, Inc. (the "Registrant"), par value $0.01 per share, are being offered for the account of the Selling Stockholders. The proposed maximum offering price per share has been estimated solely for the purpose of calculating the registration fee and computed in accordance with Rule 457(c) and (h) under the Securities Act of 1933, as amended (the "Securities Act") using the average of the high and low sale prices of the Registrant's common stock on July 17, 2026, as reported by the Nasdaq Stock Market. Pursuant to Rule 416(a) under the Securities Act, the registration statement on Form S-3ASR shall also cover any additional shares of the common stock of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82981/000148298126000022/coco-20251231.htm" TargetMode="External"/><Relationship Id="rId4" Type="http://schemas.openxmlformats.org/officeDocument/2006/relationships/hyperlink" Target="https://www.sec.gov/Archives/edgar/data/1482981/000148298126000107/coco-20260422.htm" TargetMode="External"/><Relationship Id="rId5" Type="http://schemas.openxmlformats.org/officeDocument/2006/relationships/hyperlink" Target="https://www.sec.gov/Archives/edgar/data/1482981/000148298126000120/coco-20260331.htm" TargetMode="External"/><Relationship Id="rId6" Type="http://schemas.openxmlformats.org/officeDocument/2006/relationships/hyperlink" Target="https://www.sec.gov/Archives/edgar/data/1482981/000148298126000173/coco-20260630.htm" TargetMode="External"/><Relationship Id="rId7" Type="http://schemas.openxmlformats.org/officeDocument/2006/relationships/hyperlink" Target="https://www.sec.gov/Archives/edgar/data/1482981/000162828026001348/coco-20260107.htm" TargetMode="External"/><Relationship Id="rId8" Type="http://schemas.openxmlformats.org/officeDocument/2006/relationships/hyperlink" Target="https://www.sec.gov/Archives/edgar/data/1482981/000148298126000109/coco-20260422.htm" TargetMode="External"/><Relationship Id="rId9" Type="http://schemas.openxmlformats.org/officeDocument/2006/relationships/hyperlink" Target="https://www.sec.gov/Archives/edgar/data/1482981/000148298126000090/coco-20260406.htm" TargetMode="External"/><Relationship Id="rId10" Type="http://schemas.openxmlformats.org/officeDocument/2006/relationships/hyperlink" Target="https://www.sec.gov/Archives/edgar/data/1482981/000148298126000140/coco-20260603.htm" TargetMode="External"/><Relationship Id="rId11" Type="http://schemas.openxmlformats.org/officeDocument/2006/relationships/hyperlink" Target="https://www.sec.gov/Archives/edgar/data/1482981/000148298126000167/coco-20260722.htm" TargetMode="External"/><Relationship Id="rId12" Type="http://schemas.openxmlformats.org/officeDocument/2006/relationships/hyperlink" Target="https://www.sec.gov/Archives/edgar/data/1482981/000119312521303473/d234031d8a12b.htm" TargetMode="External"/><Relationship Id="rId13" Type="http://schemas.openxmlformats.org/officeDocument/2006/relationships/hyperlink" Target="https://www.sec.gov/Archives/edgar/data/1482981/000148298126000167/exhibit21-mergeragreementr.htm" TargetMode="External"/><Relationship Id="rId14" Type="http://schemas.openxmlformats.org/officeDocument/2006/relationships/hyperlink" Target="https://www.sec.gov/Archives/edgar/data/1482981/000119312521306737/d222890dex31.htm" TargetMode="External"/><Relationship Id="rId15" Type="http://schemas.openxmlformats.org/officeDocument/2006/relationships/hyperlink" Target="https://www.sec.gov/Archives/edgar/data/1482981/000119312521306737/d222890dex32.htm" TargetMode="External"/><Relationship Id="rId16" Type="http://schemas.openxmlformats.org/officeDocument/2006/relationships/hyperlink" Target="https://www.sec.gov/Archives/edgar/data/1482981/000148298126000167/exhibit101-registrationrig.htm" TargetMode="External"/><Relationship Id="rId17" Type="http://schemas.openxmlformats.org/officeDocument/2006/relationships/hyperlink" Target="https://www.sec.gov/Archives/edgar/data/1482981/000119312521306737/d222890dex101.htm" TargetMode="External"/><Relationship Id="rId18" Type="http://schemas.openxmlformats.org/officeDocument/2006/relationships/hyperlink" Target="https://www.sec.gov/Archives/edgar/data/1482981/000119312521284306/d197386dex41.htm" TargetMode="External"/><Relationship Id="rId1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14113</Words>
  <Characters>75538</Characters>
  <CharactersWithSpaces>89935</CharactersWithSpaces>
  <Paragraphs>1249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